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747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68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Moen Brent</w:t>
              </w:r>
            </w:hyperlink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</w:tcPr>
          <w:p>
            <w:pPr>
              <w:spacing w:after="0" w:line="187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TACTILE SYSTEMS TECHNOLOGY</w:t>
              </w:r>
            </w:hyperlink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top w:val="single" w:sz="8" w:color="0000EE"/>
            </w:tcBorders>
            <w:gridSpan w:val="2"/>
            <w:vMerge w:val="restart"/>
          </w:tcPr>
          <w:p>
            <w:pPr>
              <w:spacing w:after="0" w:line="220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INC 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00"/>
                </w:rPr>
                <w:t>[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17"/>
                  <w:szCs w:val="17"/>
                  <w:color w:val="0000FF"/>
                </w:rPr>
                <w:t>TCMD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00"/>
                </w:rPr>
                <w:t>]</w:t>
              </w:r>
            </w:hyperlink>
          </w:p>
        </w:tc>
        <w:tc>
          <w:tcPr>
            <w:tcW w:w="36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top w:val="single" w:sz="8" w:color="0000EE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000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54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3701 WAYZATA BLVD.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54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03/05/2020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SUITE 300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0"/>
          <w:szCs w:val="20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6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Chief Financial Officer</w:t>
      </w:r>
    </w:p>
    <w:p>
      <w:pPr>
        <w:spacing w:after="0" w:line="40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660" w:space="75"/>
            <w:col w:w="3345"/>
          </w:cols>
          <w:pgMar w:left="460" w:top="225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40" w:type="dxa"/>
            <w:vAlign w:val="bottom"/>
            <w:gridSpan w:val="6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60" w:type="dxa"/>
            <w:vAlign w:val="bottom"/>
            <w:gridSpan w:val="9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MINNEAPOLIS MN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55416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680" w:type="dxa"/>
            <w:vAlign w:val="bottom"/>
            <w:gridSpan w:val="2"/>
            <w:vMerge w:val="restart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2C2C2C"/>
            </w:tcBorders>
            <w:gridSpan w:val="8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7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60" w:type="dxa"/>
            <w:vAlign w:val="bottom"/>
            <w:gridSpan w:val="6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03/05/2020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175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6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6"/>
              </w:rPr>
              <w:t>48.64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23,897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1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2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8000"/>
        </w:rPr>
        <w:t>1. The shares were sold to cover taxes associated with the settlement of stock units. These sales were effected pursuant to a Rule 10b5-1 trading plan adopted by the reporting person on May 31, 2019.</w:t>
      </w:r>
    </w:p>
    <w:p>
      <w:pPr>
        <w:spacing w:after="0" w:line="75" w:lineRule="exact"/>
        <w:rPr>
          <w:sz w:val="20"/>
          <w:szCs w:val="20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9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/s/ Jonathan R. Zimmerman,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03/09/2020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180" w:type="dxa"/>
            <w:vAlign w:val="bottom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Attorney-in-Fact</w:t>
            </w: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1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30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512710" TargetMode="External"/><Relationship Id="rId13" Type="http://schemas.openxmlformats.org/officeDocument/2006/relationships/hyperlink" Target="http://www.sec.gov/cgi-bin/browse-edgar?action=getcompany&amp;CIK=000102783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2020-03-09T16:27:24Z</dcterms:created>
  <dcterms:modified xsi:type="dcterms:W3CDTF">2020-03-09T16:27:24Z</dcterms:modified>
</cp:coreProperties>
</file>