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Birkemeyer Elaine M.</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(Last)</w:t>
            </w:r>
          </w:p>
        </w:tc>
        <w:tc>
          <w:tcPr>
            <w:tcW w:w="1180" w:type="dxa"/>
            <w:vAlign w:val="bottom"/>
          </w:tcPr>
          <w:p>
            <w:pPr>
              <w:ind w:left="300"/>
              <w:spacing w:after="0"/>
              <w:rPr>
                <w:sz w:val="20"/>
                <w:szCs w:val="20"/>
                <w:color w:val="auto"/>
              </w:rPr>
            </w:pPr>
            <w:r>
              <w:rPr>
                <w:rFonts w:ascii="Arial" w:cs="Arial" w:eastAsia="Arial" w:hAnsi="Arial"/>
                <w:sz w:val="13"/>
                <w:szCs w:val="13"/>
                <w:color w:val="auto"/>
              </w:rPr>
              <w:t>(First)</w:t>
            </w:r>
          </w:p>
        </w:tc>
        <w:tc>
          <w:tcPr>
            <w:tcW w:w="1540" w:type="dxa"/>
            <w:vAlign w:val="bottom"/>
          </w:tcPr>
          <w:p>
            <w:pPr>
              <w:ind w:left="3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3701 WAYZATA BLVD.</w:t>
            </w:r>
          </w:p>
        </w:tc>
        <w:tc>
          <w:tcPr>
            <w:tcW w:w="154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7"/>
                <w:szCs w:val="17"/>
                <w:color w:val="0000FF"/>
              </w:rPr>
              <w:t>STE 300</w:t>
            </w:r>
          </w:p>
        </w:tc>
        <w:tc>
          <w:tcPr>
            <w:tcW w:w="118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r>
      <w:tr>
        <w:trPr>
          <w:trHeight w:val="269"/>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5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55416</w:t>
            </w:r>
          </w:p>
        </w:tc>
      </w:tr>
      <w:tr>
        <w:trPr>
          <w:trHeight w:val="155"/>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(City)</w:t>
            </w:r>
          </w:p>
        </w:tc>
        <w:tc>
          <w:tcPr>
            <w:tcW w:w="1180" w:type="dxa"/>
            <w:vAlign w:val="bottom"/>
          </w:tcPr>
          <w:p>
            <w:pPr>
              <w:ind w:left="300"/>
              <w:spacing w:after="0"/>
              <w:rPr>
                <w:sz w:val="20"/>
                <w:szCs w:val="20"/>
                <w:color w:val="auto"/>
              </w:rPr>
            </w:pPr>
            <w:r>
              <w:rPr>
                <w:rFonts w:ascii="Arial" w:cs="Arial" w:eastAsia="Arial" w:hAnsi="Arial"/>
                <w:sz w:val="13"/>
                <w:szCs w:val="13"/>
                <w:color w:val="auto"/>
              </w:rPr>
              <w:t>(State)</w:t>
            </w:r>
          </w:p>
        </w:tc>
        <w:tc>
          <w:tcPr>
            <w:tcW w:w="1540" w:type="dxa"/>
            <w:vAlign w:val="bottom"/>
          </w:tcPr>
          <w:p>
            <w:pPr>
              <w:ind w:left="3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TACTILE SYSTEMS TECHNOLOGY</w:t>
              </w:r>
            </w:hyperlink>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60" w:type="dxa"/>
            <w:vAlign w:val="bottom"/>
            <w:tcBorders>
              <w:bottom w:val="single" w:sz="8" w:color="0000EE"/>
            </w:tcBorders>
          </w:tcPr>
          <w:p>
            <w:pPr>
              <w:spacing w:after="0"/>
              <w:rPr>
                <w:sz w:val="3"/>
                <w:szCs w:val="3"/>
                <w:color w:val="auto"/>
              </w:rPr>
            </w:pPr>
          </w:p>
        </w:tc>
        <w:tc>
          <w:tcPr>
            <w:tcW w:w="3020" w:type="dxa"/>
            <w:vAlign w:val="bottom"/>
            <w:tcBorders>
              <w:bottom w:val="single" w:sz="8" w:color="0000EE"/>
            </w:tcBorders>
          </w:tcPr>
          <w:p>
            <w:pPr>
              <w:spacing w:after="0"/>
              <w:rPr>
                <w:sz w:val="3"/>
                <w:szCs w:val="3"/>
                <w:color w:val="auto"/>
              </w:rPr>
            </w:pPr>
          </w:p>
        </w:tc>
        <w:tc>
          <w:tcPr>
            <w:tcW w:w="3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3"/>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TCMD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80" w:type="dxa"/>
            <w:vAlign w:val="bottom"/>
          </w:tcPr>
          <w:p>
            <w:pPr>
              <w:spacing w:after="0"/>
              <w:rPr>
                <w:sz w:val="7"/>
                <w:szCs w:val="7"/>
                <w:color w:val="auto"/>
              </w:rPr>
            </w:pPr>
          </w:p>
        </w:tc>
        <w:tc>
          <w:tcPr>
            <w:tcW w:w="3740" w:type="dxa"/>
            <w:vAlign w:val="bottom"/>
            <w:gridSpan w:val="3"/>
            <w:vMerge w:val="continue"/>
          </w:tcPr>
          <w:p>
            <w:pPr>
              <w:spacing w:after="0"/>
              <w:rPr>
                <w:sz w:val="7"/>
                <w:szCs w:val="7"/>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1"/>
        </w:trPr>
        <w:tc>
          <w:tcPr>
            <w:tcW w:w="8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0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02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tcPr>
          <w:p>
            <w:pPr>
              <w:ind w:left="540"/>
              <w:spacing w:after="0" w:line="185" w:lineRule="exact"/>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226"/>
        </w:trPr>
        <w:tc>
          <w:tcPr>
            <w:tcW w:w="34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05/11/2026</w:t>
            </w: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02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480"/>
              <w:spacing w:after="0"/>
              <w:rPr>
                <w:sz w:val="20"/>
                <w:szCs w:val="20"/>
                <w:color w:val="auto"/>
              </w:rPr>
            </w:pPr>
            <w:r>
              <w:rPr>
                <w:rFonts w:ascii="Times New Roman" w:cs="Times New Roman" w:eastAsia="Times New Roman" w:hAnsi="Times New Roman"/>
                <w:sz w:val="17"/>
                <w:szCs w:val="17"/>
                <w:color w:val="0000FF"/>
              </w:rPr>
              <w:t>05/11/2026</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4,631</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24.488</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130,188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to cover taxes associated with the settlement of stock units.</w:t>
      </w:r>
    </w:p>
    <w:p>
      <w:pPr>
        <w:spacing w:after="0" w:line="5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weighted average price of 4,631 shares of common stock of Tactile Systems Technology, Inc. sold by the reporting person in multiple transactions on May 11, 2026 with sale prices ranging from $23.89 to $25.42 per share. The reporting person undertakes to provide upon request by the U.S. Securities and Exchange Commission staff, the issuer, or a security holder of the issuer, full information regarding the number of shares sold at each separate price.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Jonathan Zimmerman,</w:t>
            </w:r>
          </w:p>
        </w:tc>
        <w:tc>
          <w:tcPr>
            <w:tcW w:w="220" w:type="dxa"/>
            <w:vAlign w:val="bottom"/>
          </w:tcPr>
          <w:p>
            <w:pPr>
              <w:spacing w:after="0"/>
              <w:rPr>
                <w:sz w:val="17"/>
                <w:szCs w:val="17"/>
                <w:color w:val="auto"/>
              </w:rPr>
            </w:pP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05/13/2026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820" w:type="dxa"/>
            <w:vAlign w:val="bottom"/>
            <w:gridSpan w:val="2"/>
            <w:vMerge w:val="restart"/>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68559" TargetMode="External"/><Relationship Id="rId14" Type="http://schemas.openxmlformats.org/officeDocument/2006/relationships/hyperlink" Target="http://www.sec.gov/cgi-bin/browse-edgar?action=getcompany&amp;CIK=00010278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2026-05-13T16:09:49Z</dcterms:created>
  <dcterms:modified xsi:type="dcterms:W3CDTF">2026-05-13T16:09:49Z</dcterms:modified>
</cp:coreProperties>
</file>