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5303520</wp:posOffset>
            </wp:positionH>
            <wp:positionV relativeFrom="paragraph">
              <wp:posOffset>-605155</wp:posOffset>
            </wp:positionV>
            <wp:extent cx="8255" cy="6057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3993515</wp:posOffset>
            </wp:positionH>
            <wp:positionV relativeFrom="paragraph">
              <wp:posOffset>-613410</wp:posOffset>
            </wp:positionV>
            <wp:extent cx="8255" cy="6140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-588645</wp:posOffset>
            </wp:positionV>
            <wp:extent cx="1269365" cy="565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-1623060</wp:posOffset>
            </wp:positionH>
            <wp:positionV relativeFrom="paragraph">
              <wp:posOffset>28575</wp:posOffset>
            </wp:positionV>
            <wp:extent cx="6968490" cy="17443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REUVERS DANIEL L.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0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5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3701 WAYZATA BLVD.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SUITE 300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7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MINNEAPOLIS MN</w:t>
            </w:r>
          </w:p>
        </w:tc>
        <w:tc>
          <w:tcPr>
            <w:tcW w:w="15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55416</w:t>
            </w: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5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5680" w:type="dxa"/>
            <w:vAlign w:val="bottom"/>
            <w:gridSpan w:val="3"/>
          </w:tcPr>
          <w:p>
            <w:pPr>
              <w:ind w:left="80"/>
              <w:spacing w:after="0" w:line="202" w:lineRule="exact"/>
              <w:rPr>
                <w:rFonts w:ascii="Arial" w:cs="Arial" w:eastAsia="Arial" w:hAnsi="Arial"/>
                <w:sz w:val="19"/>
                <w:szCs w:val="19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9"/>
                  <w:szCs w:val="19"/>
                  <w:u w:val="single" w:color="auto"/>
                  <w:color w:val="0000EE"/>
                </w:rPr>
                <w:t>TACTILE SYSTEMS TECHNOLOGY INC</w:t>
              </w:r>
              <w:r>
                <w:rPr>
                  <w:rFonts w:ascii="Arial" w:cs="Arial" w:eastAsia="Arial" w:hAnsi="Arial"/>
                  <w:sz w:val="19"/>
                  <w:szCs w:val="19"/>
                  <w:color w:val="0000EE"/>
                </w:rPr>
                <w:t xml:space="preserve">  </w:t>
              </w:r>
            </w:hyperlink>
            <w:r>
              <w:rPr>
                <w:rFonts w:ascii="Arial" w:cs="Arial" w:eastAsia="Arial" w:hAnsi="Arial"/>
                <w:sz w:val="23"/>
                <w:szCs w:val="23"/>
                <w:color w:val="000000"/>
                <w:vertAlign w:val="superscript"/>
              </w:rPr>
              <w:t>(Check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000000"/>
                <w:vertAlign w:val="superscript"/>
              </w:rPr>
              <w:t>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840" w:type="dxa"/>
            <w:vAlign w:val="bottom"/>
          </w:tcPr>
          <w:p>
            <w:pPr>
              <w:ind w:left="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[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TCMD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]</w:t>
            </w:r>
          </w:p>
        </w:tc>
        <w:tc>
          <w:tcPr>
            <w:tcW w:w="480" w:type="dxa"/>
            <w:vAlign w:val="bottom"/>
          </w:tcPr>
          <w:p>
            <w:pPr>
              <w:ind w:left="2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 and CEO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08/05/2020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3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18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-2435860</wp:posOffset>
            </wp:positionH>
            <wp:positionV relativeFrom="paragraph">
              <wp:posOffset>184150</wp:posOffset>
            </wp:positionV>
            <wp:extent cx="6968490" cy="13017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1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6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08/05/2020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10,178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95"/>
                <w:vertAlign w:val="superscript"/>
              </w:rPr>
              <w:t>(1)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10,178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08/05/2020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9,246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(2)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19,424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60" w:type="dxa"/>
            <w:vAlign w:val="bottom"/>
            <w:gridSpan w:val="11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26,210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36.5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9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08/05/2020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26,210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08/05/2027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26,210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24,818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36.5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9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08/05/2020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24,818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08/05/2027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600" w:type="dxa"/>
            <w:vAlign w:val="bottom"/>
          </w:tcPr>
          <w:p>
            <w:pPr>
              <w:ind w:left="24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24,818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-2579370</wp:posOffset>
            </wp:positionV>
            <wp:extent cx="7033895" cy="27184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Restricted stock units ("RSUs") that vest as follows: one-third of the RSUs vest on each of the first three anniversaries of the grant date.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RSUs that vest fully on June 30, 2021.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180" w:firstLine="2"/>
        <w:spacing w:after="0" w:line="249" w:lineRule="auto"/>
        <w:tabs>
          <w:tab w:leader="none" w:pos="16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One-third of the stock option vests on each of the first three anniversaries of the grant date, subject to the requirement that the Company's stock price exceeds $40.15 for 20 consecutive trading days during the term of the stock option.</w:t>
      </w:r>
    </w:p>
    <w:p>
      <w:pPr>
        <w:spacing w:after="0" w:line="2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Stock option vests fully on June 30, 2021, subject to the requirement that the Company's stock price exceeds $40.15 for 20 consecutive trading days during the term of the stock option.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/s/ Jonathan R. Zimmerman,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08/07/2020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563602" TargetMode="External"/><Relationship Id="rId14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2020-08-07T20:25:26Z</dcterms:created>
  <dcterms:modified xsi:type="dcterms:W3CDTF">2020-08-07T20:25:26Z</dcterms:modified>
</cp:coreProperties>
</file>