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6"/>
          <w:szCs w:val="16"/>
          <w:b w:val="1"/>
          <w:bCs w:val="1"/>
          <w:color w:val="auto"/>
        </w:rPr>
        <w:t>UNITED STATES</w:t>
      </w:r>
    </w:p>
    <w:p>
      <w:pPr>
        <w:jc w:val="center"/>
        <w:spacing w:after="0" w:line="201" w:lineRule="auto"/>
        <w:rPr>
          <w:sz w:val="20"/>
          <w:szCs w:val="20"/>
          <w:color w:val="auto"/>
        </w:rPr>
      </w:pPr>
      <w:r>
        <w:rPr>
          <w:rFonts w:ascii="Arial" w:cs="Arial" w:eastAsia="Arial" w:hAnsi="Arial"/>
          <w:sz w:val="16"/>
          <w:szCs w:val="16"/>
          <w:b w:val="1"/>
          <w:bCs w:val="1"/>
          <w:color w:val="auto"/>
        </w:rPr>
        <w:t>SECURITIES AND EXCHANGE COMMISSION</w:t>
      </w:r>
    </w:p>
    <w:p>
      <w:pPr>
        <w:jc w:val="center"/>
        <w:spacing w:after="0"/>
        <w:rPr>
          <w:sz w:val="20"/>
          <w:szCs w:val="20"/>
          <w:color w:val="auto"/>
        </w:rPr>
      </w:pPr>
      <w:r>
        <w:rPr>
          <w:rFonts w:ascii="Arial" w:cs="Arial" w:eastAsia="Arial" w:hAnsi="Arial"/>
          <w:sz w:val="16"/>
          <w:szCs w:val="16"/>
          <w:b w:val="1"/>
          <w:bCs w:val="1"/>
          <w:color w:val="auto"/>
        </w:rPr>
        <w:t>Washington, D.C. 20549</w:t>
      </w:r>
    </w:p>
    <w:p>
      <w:pPr>
        <w:spacing w:after="0" w:line="12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SCHEDULE 14A</w:t>
      </w:r>
    </w:p>
    <w:p>
      <w:pPr>
        <w:spacing w:after="0" w:line="141" w:lineRule="exact"/>
        <w:rPr>
          <w:sz w:val="24"/>
          <w:szCs w:val="24"/>
          <w:color w:val="auto"/>
        </w:rPr>
      </w:pPr>
    </w:p>
    <w:tbl>
      <w:tblPr>
        <w:tblLayout w:type="fixed"/>
        <w:tblInd w:w="2560" w:type="dxa"/>
        <w:tblCellMar>
          <w:top w:w="0" w:type="dxa"/>
          <w:left w:w="0" w:type="dxa"/>
          <w:bottom w:w="0" w:type="dxa"/>
          <w:right w:w="0" w:type="dxa"/>
        </w:tblCellMar>
      </w:tblPr>
      <w:tr>
        <w:trPr>
          <w:trHeight w:val="184"/>
        </w:trPr>
        <w:tc>
          <w:tcPr>
            <w:tcW w:w="3660" w:type="dxa"/>
            <w:vAlign w:val="bottom"/>
          </w:tcPr>
          <w:p>
            <w:pPr>
              <w:ind w:left="520"/>
              <w:spacing w:after="0"/>
              <w:rPr>
                <w:sz w:val="20"/>
                <w:szCs w:val="20"/>
                <w:color w:val="auto"/>
              </w:rPr>
            </w:pPr>
            <w:r>
              <w:rPr>
                <w:rFonts w:ascii="Arial" w:cs="Arial" w:eastAsia="Arial" w:hAnsi="Arial"/>
                <w:sz w:val="16"/>
                <w:szCs w:val="16"/>
                <w:color w:val="auto"/>
                <w:w w:val="96"/>
              </w:rPr>
              <w:t>Proxy Statement Pursuant to Section 14(a) of</w:t>
            </w:r>
          </w:p>
        </w:tc>
        <w:tc>
          <w:tcPr>
            <w:tcW w:w="2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1"/>
        </w:trPr>
        <w:tc>
          <w:tcPr>
            <w:tcW w:w="3660" w:type="dxa"/>
            <w:vAlign w:val="bottom"/>
          </w:tcPr>
          <w:p>
            <w:pPr>
              <w:spacing w:after="0"/>
              <w:rPr>
                <w:sz w:val="20"/>
                <w:szCs w:val="20"/>
                <w:color w:val="auto"/>
              </w:rPr>
            </w:pPr>
            <w:r>
              <w:rPr>
                <w:rFonts w:ascii="Arial" w:cs="Arial" w:eastAsia="Arial" w:hAnsi="Arial"/>
                <w:sz w:val="16"/>
                <w:szCs w:val="16"/>
                <w:color w:val="auto"/>
                <w:w w:val="94"/>
              </w:rPr>
              <w:t>the Securities Exchange Act of 1934 (Amendment No.</w:t>
            </w:r>
          </w:p>
        </w:tc>
        <w:tc>
          <w:tcPr>
            <w:tcW w:w="2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bl>
    <w:p>
      <w:pPr>
        <w:spacing w:after="0" w:line="127" w:lineRule="exact"/>
        <w:rPr>
          <w:sz w:val="24"/>
          <w:szCs w:val="24"/>
          <w:color w:val="auto"/>
        </w:rPr>
      </w:pPr>
    </w:p>
    <w:p>
      <w:pPr>
        <w:ind w:left="40"/>
        <w:spacing w:after="0" w:line="184" w:lineRule="exact"/>
        <w:rPr>
          <w:sz w:val="20"/>
          <w:szCs w:val="20"/>
          <w:color w:val="auto"/>
        </w:rPr>
      </w:pPr>
      <w:r>
        <w:rPr>
          <w:rFonts w:ascii="Arial" w:cs="Arial" w:eastAsia="Arial" w:hAnsi="Arial"/>
          <w:sz w:val="16"/>
          <w:szCs w:val="16"/>
          <w:color w:val="auto"/>
        </w:rPr>
        <w:t xml:space="preserve">Filed by the Registrant </w:t>
      </w:r>
      <w:r>
        <w:rPr>
          <w:rFonts w:ascii="MS PGothic" w:cs="MS PGothic" w:eastAsia="MS PGothic" w:hAnsi="MS PGothic"/>
          <w:sz w:val="16"/>
          <w:szCs w:val="16"/>
          <w:color w:val="auto"/>
        </w:rPr>
        <w:t>☑</w:t>
      </w:r>
    </w:p>
    <w:p>
      <w:pPr>
        <w:spacing w:after="0" w:line="125" w:lineRule="exact"/>
        <w:rPr>
          <w:sz w:val="24"/>
          <w:szCs w:val="24"/>
          <w:color w:val="auto"/>
        </w:rPr>
      </w:pPr>
    </w:p>
    <w:p>
      <w:pPr>
        <w:ind w:left="40"/>
        <w:spacing w:after="0" w:line="184" w:lineRule="exact"/>
        <w:rPr>
          <w:sz w:val="20"/>
          <w:szCs w:val="20"/>
          <w:color w:val="auto"/>
        </w:rPr>
      </w:pP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131" w:lineRule="exact"/>
        <w:rPr>
          <w:sz w:val="24"/>
          <w:szCs w:val="24"/>
          <w:color w:val="auto"/>
        </w:rPr>
      </w:pPr>
    </w:p>
    <w:p>
      <w:pPr>
        <w:ind w:left="40"/>
        <w:spacing w:after="0"/>
        <w:rPr>
          <w:sz w:val="20"/>
          <w:szCs w:val="20"/>
          <w:color w:val="auto"/>
        </w:rPr>
      </w:pPr>
      <w:r>
        <w:rPr>
          <w:rFonts w:ascii="Arial" w:cs="Arial" w:eastAsia="Arial" w:hAnsi="Arial"/>
          <w:sz w:val="16"/>
          <w:szCs w:val="16"/>
          <w:color w:val="auto"/>
        </w:rPr>
        <w:t>Check the appropriate box:</w:t>
      </w:r>
    </w:p>
    <w:p>
      <w:pPr>
        <w:ind w:left="540" w:hanging="495"/>
        <w:spacing w:after="0" w:line="209" w:lineRule="auto"/>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Preliminary Proxy Statement</w:t>
      </w:r>
    </w:p>
    <w:p>
      <w:pPr>
        <w:ind w:left="540" w:hanging="495"/>
        <w:spacing w:after="0" w:line="155" w:lineRule="exact"/>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Confidential, for Use of the Commission Only (as permitted by Rule 14a</w:t>
      </w:r>
      <w:r>
        <w:rPr>
          <w:rFonts w:ascii="MS PGothic" w:cs="MS PGothic" w:eastAsia="MS PGothic" w:hAnsi="MS PGothic"/>
          <w:sz w:val="16"/>
          <w:szCs w:val="16"/>
          <w:b w:val="1"/>
          <w:bCs w:val="1"/>
          <w:color w:val="auto"/>
        </w:rPr>
        <w:t>‑</w:t>
      </w:r>
      <w:r>
        <w:rPr>
          <w:rFonts w:ascii="Arial" w:cs="Arial" w:eastAsia="Arial" w:hAnsi="Arial"/>
          <w:sz w:val="16"/>
          <w:szCs w:val="16"/>
          <w:b w:val="1"/>
          <w:bCs w:val="1"/>
          <w:color w:val="auto"/>
        </w:rPr>
        <w:t>6(e)(2))</w:t>
      </w:r>
    </w:p>
    <w:p>
      <w:pPr>
        <w:ind w:left="540" w:hanging="495"/>
        <w:spacing w:after="0" w:line="193" w:lineRule="auto"/>
        <w:tabs>
          <w:tab w:leader="none" w:pos="5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Definitive Proxy Statement</w:t>
      </w:r>
    </w:p>
    <w:p>
      <w:pPr>
        <w:ind w:left="540" w:hanging="495"/>
        <w:spacing w:after="0" w:line="202" w:lineRule="auto"/>
        <w:tabs>
          <w:tab w:leader="none" w:pos="540"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Definitive Additional Materials</w:t>
      </w:r>
    </w:p>
    <w:p>
      <w:pPr>
        <w:ind w:left="540" w:hanging="495"/>
        <w:spacing w:after="0" w:line="184" w:lineRule="exact"/>
        <w:tabs>
          <w:tab w:leader="none" w:pos="540"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Soliciting Material under §240.14a</w:t>
      </w:r>
      <w:r>
        <w:rPr>
          <w:rFonts w:ascii="MS PGothic" w:cs="MS PGothic" w:eastAsia="MS PGothic" w:hAnsi="MS PGothic"/>
          <w:sz w:val="16"/>
          <w:szCs w:val="16"/>
          <w:color w:val="auto"/>
        </w:rPr>
        <w:t>‑</w:t>
      </w:r>
      <w:r>
        <w:rPr>
          <w:rFonts w:ascii="Arial" w:cs="Arial" w:eastAsia="Arial" w:hAnsi="Arial"/>
          <w:sz w:val="16"/>
          <w:szCs w:val="16"/>
          <w:color w:val="auto"/>
        </w:rPr>
        <w:t>12</w:t>
      </w:r>
    </w:p>
    <w:p>
      <w:pPr>
        <w:spacing w:after="0" w:line="12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132080</wp:posOffset>
            </wp:positionH>
            <wp:positionV relativeFrom="paragraph">
              <wp:posOffset>0</wp:posOffset>
            </wp:positionV>
            <wp:extent cx="5573395"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73395" cy="7620"/>
                    </a:xfrm>
                    <a:prstGeom prst="rect">
                      <a:avLst/>
                    </a:prstGeom>
                    <a:noFill/>
                  </pic:spPr>
                </pic:pic>
              </a:graphicData>
            </a:graphic>
          </wp:anchor>
        </w:drawing>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132080</wp:posOffset>
            </wp:positionH>
            <wp:positionV relativeFrom="paragraph">
              <wp:posOffset>87630</wp:posOffset>
            </wp:positionV>
            <wp:extent cx="557339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73395" cy="7620"/>
                    </a:xfrm>
                    <a:prstGeom prst="rect">
                      <a:avLst/>
                    </a:prstGeom>
                    <a:noFill/>
                  </pic:spPr>
                </pic:pic>
              </a:graphicData>
            </a:graphic>
          </wp:anchor>
        </w:drawing>
      </w:r>
    </w:p>
    <w:p>
      <w:pPr>
        <w:spacing w:after="0" w:line="129" w:lineRule="exact"/>
        <w:rPr>
          <w:sz w:val="24"/>
          <w:szCs w:val="24"/>
          <w:color w:val="auto"/>
        </w:rPr>
      </w:pPr>
    </w:p>
    <w:p>
      <w:pPr>
        <w:ind w:left="2220"/>
        <w:spacing w:after="0"/>
        <w:rPr>
          <w:sz w:val="20"/>
          <w:szCs w:val="20"/>
          <w:color w:val="auto"/>
        </w:rPr>
      </w:pPr>
      <w:r>
        <w:rPr>
          <w:rFonts w:ascii="Arial" w:cs="Arial" w:eastAsia="Arial" w:hAnsi="Arial"/>
          <w:sz w:val="16"/>
          <w:szCs w:val="16"/>
          <w:color w:val="auto"/>
        </w:rPr>
        <w:t>(Name of Person(s) Filing Proxy Statement, if other than the Registrant)</w:t>
      </w:r>
    </w:p>
    <w:p>
      <w:pPr>
        <w:spacing w:after="0" w:line="127" w:lineRule="exact"/>
        <w:rPr>
          <w:sz w:val="24"/>
          <w:szCs w:val="24"/>
          <w:color w:val="auto"/>
        </w:rPr>
      </w:pPr>
    </w:p>
    <w:p>
      <w:pPr>
        <w:ind w:left="40"/>
        <w:spacing w:after="0"/>
        <w:rPr>
          <w:sz w:val="20"/>
          <w:szCs w:val="20"/>
          <w:color w:val="auto"/>
        </w:rPr>
      </w:pPr>
      <w:r>
        <w:rPr>
          <w:rFonts w:ascii="Arial" w:cs="Arial" w:eastAsia="Arial" w:hAnsi="Arial"/>
          <w:sz w:val="16"/>
          <w:szCs w:val="16"/>
          <w:color w:val="auto"/>
        </w:rPr>
        <w:t>Payment of Filing Fee (Check the appropriate box):</w:t>
      </w:r>
    </w:p>
    <w:p>
      <w:pPr>
        <w:ind w:left="620" w:hanging="575"/>
        <w:spacing w:after="0"/>
        <w:tabs>
          <w:tab w:leader="none" w:pos="620"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No fee required.</w:t>
      </w:r>
    </w:p>
    <w:p>
      <w:pPr>
        <w:spacing w:after="0" w:line="101" w:lineRule="exact"/>
        <w:rPr>
          <w:sz w:val="24"/>
          <w:szCs w:val="24"/>
          <w:color w:val="auto"/>
        </w:rPr>
      </w:pPr>
    </w:p>
    <w:p>
      <w:pPr>
        <w:ind w:left="620" w:hanging="575"/>
        <w:spacing w:after="0"/>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computed on table below per Exchange Act Rules 14a-6(i)(1) and 0-11.</w:t>
      </w:r>
    </w:p>
    <w:p>
      <w:pPr>
        <w:ind w:left="980" w:hanging="365"/>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Title of each class of securities to which transaction applies:</w:t>
      </w:r>
    </w:p>
    <w:p>
      <w:pPr>
        <w:spacing w:after="0" w:line="158" w:lineRule="exact"/>
        <w:rPr>
          <w:rFonts w:ascii="Arial" w:cs="Arial" w:eastAsia="Arial" w:hAnsi="Arial"/>
          <w:sz w:val="16"/>
          <w:szCs w:val="16"/>
          <w:color w:val="auto"/>
        </w:rPr>
      </w:pPr>
    </w:p>
    <w:p>
      <w:pPr>
        <w:ind w:left="980" w:hanging="365"/>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Aggregate number of securities to which transaction applies:</w:t>
      </w:r>
    </w:p>
    <w:p>
      <w:pPr>
        <w:spacing w:after="0" w:line="172" w:lineRule="exact"/>
        <w:rPr>
          <w:rFonts w:ascii="Arial" w:cs="Arial" w:eastAsia="Arial" w:hAnsi="Arial"/>
          <w:sz w:val="16"/>
          <w:szCs w:val="16"/>
          <w:color w:val="auto"/>
        </w:rPr>
      </w:pPr>
    </w:p>
    <w:p>
      <w:pPr>
        <w:ind w:left="980" w:right="79" w:hanging="365"/>
        <w:spacing w:after="0" w:line="178" w:lineRule="exact"/>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w:t>
      </w:r>
      <w:r>
        <w:rPr>
          <w:rFonts w:ascii="MS PGothic" w:cs="MS PGothic" w:eastAsia="MS PGothic" w:hAnsi="MS PGothic"/>
          <w:sz w:val="16"/>
          <w:szCs w:val="16"/>
          <w:color w:val="auto"/>
        </w:rPr>
        <w:t>‑</w:t>
      </w:r>
      <w:r>
        <w:rPr>
          <w:rFonts w:ascii="Arial" w:cs="Arial" w:eastAsia="Arial" w:hAnsi="Arial"/>
          <w:sz w:val="16"/>
          <w:szCs w:val="16"/>
          <w:color w:val="auto"/>
        </w:rPr>
        <w:t>11 (set forth the amount on which the filing fee is calculated and state how it was determined):</w:t>
      </w:r>
    </w:p>
    <w:p>
      <w:pPr>
        <w:spacing w:after="0" w:line="156" w:lineRule="exact"/>
        <w:rPr>
          <w:rFonts w:ascii="Arial" w:cs="Arial" w:eastAsia="Arial" w:hAnsi="Arial"/>
          <w:sz w:val="16"/>
          <w:szCs w:val="16"/>
          <w:color w:val="auto"/>
        </w:rPr>
      </w:pPr>
    </w:p>
    <w:p>
      <w:pPr>
        <w:ind w:left="980" w:hanging="365"/>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Proposed maximum aggregate value of transaction:</w:t>
      </w:r>
    </w:p>
    <w:p>
      <w:pPr>
        <w:spacing w:after="0" w:line="172" w:lineRule="exact"/>
        <w:rPr>
          <w:rFonts w:ascii="Arial" w:cs="Arial" w:eastAsia="Arial" w:hAnsi="Arial"/>
          <w:sz w:val="16"/>
          <w:szCs w:val="16"/>
          <w:color w:val="auto"/>
        </w:rPr>
      </w:pPr>
    </w:p>
    <w:p>
      <w:pPr>
        <w:ind w:left="980" w:hanging="365"/>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6"/>
          <w:szCs w:val="16"/>
          <w:color w:val="auto"/>
        </w:rPr>
        <w:t>Total fee paid:</w:t>
      </w:r>
    </w:p>
    <w:p>
      <w:pPr>
        <w:spacing w:after="0" w:line="156" w:lineRule="exact"/>
        <w:rPr>
          <w:rFonts w:ascii="Arial" w:cs="Arial" w:eastAsia="Arial" w:hAnsi="Arial"/>
          <w:sz w:val="16"/>
          <w:szCs w:val="16"/>
          <w:color w:val="auto"/>
        </w:rPr>
      </w:pPr>
    </w:p>
    <w:p>
      <w:pPr>
        <w:ind w:left="620" w:hanging="575"/>
        <w:spacing w:after="0"/>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paid previously with preliminary materials.</w:t>
      </w:r>
    </w:p>
    <w:p>
      <w:pPr>
        <w:ind w:left="620" w:right="259" w:hanging="575"/>
        <w:spacing w:after="0" w:line="201" w:lineRule="auto"/>
        <w:tabs>
          <w:tab w:leader="none" w:pos="6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1040" w:hanging="425"/>
        <w:spacing w:after="0"/>
        <w:tabs>
          <w:tab w:leader="none" w:pos="1040" w:val="left"/>
        </w:tabs>
        <w:numPr>
          <w:ilvl w:val="1"/>
          <w:numId w:val="5"/>
        </w:numPr>
        <w:rPr>
          <w:rFonts w:ascii="Arial" w:cs="Arial" w:eastAsia="Arial" w:hAnsi="Arial"/>
          <w:sz w:val="16"/>
          <w:szCs w:val="16"/>
          <w:color w:val="auto"/>
        </w:rPr>
      </w:pPr>
      <w:r>
        <w:rPr>
          <w:rFonts w:ascii="Arial" w:cs="Arial" w:eastAsia="Arial" w:hAnsi="Arial"/>
          <w:sz w:val="16"/>
          <w:szCs w:val="16"/>
          <w:color w:val="auto"/>
        </w:rPr>
        <w:t>Amount Previously Paid:</w:t>
      </w:r>
    </w:p>
    <w:p>
      <w:pPr>
        <w:spacing w:after="0" w:line="158" w:lineRule="exact"/>
        <w:rPr>
          <w:rFonts w:ascii="Arial" w:cs="Arial" w:eastAsia="Arial" w:hAnsi="Arial"/>
          <w:sz w:val="16"/>
          <w:szCs w:val="16"/>
          <w:color w:val="auto"/>
        </w:rPr>
      </w:pPr>
    </w:p>
    <w:p>
      <w:pPr>
        <w:ind w:left="1040" w:hanging="425"/>
        <w:spacing w:after="0"/>
        <w:tabs>
          <w:tab w:leader="none" w:pos="1040" w:val="left"/>
        </w:tabs>
        <w:numPr>
          <w:ilvl w:val="1"/>
          <w:numId w:val="5"/>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172" w:lineRule="exact"/>
        <w:rPr>
          <w:rFonts w:ascii="Arial" w:cs="Arial" w:eastAsia="Arial" w:hAnsi="Arial"/>
          <w:sz w:val="16"/>
          <w:szCs w:val="16"/>
          <w:color w:val="auto"/>
        </w:rPr>
      </w:pPr>
    </w:p>
    <w:p>
      <w:pPr>
        <w:ind w:left="1040" w:hanging="425"/>
        <w:spacing w:after="0"/>
        <w:tabs>
          <w:tab w:leader="none" w:pos="1040" w:val="left"/>
        </w:tabs>
        <w:numPr>
          <w:ilvl w:val="1"/>
          <w:numId w:val="5"/>
        </w:numPr>
        <w:rPr>
          <w:rFonts w:ascii="Arial" w:cs="Arial" w:eastAsia="Arial" w:hAnsi="Arial"/>
          <w:sz w:val="16"/>
          <w:szCs w:val="16"/>
          <w:color w:val="auto"/>
        </w:rPr>
      </w:pPr>
      <w:r>
        <w:rPr>
          <w:rFonts w:ascii="Arial" w:cs="Arial" w:eastAsia="Arial" w:hAnsi="Arial"/>
          <w:sz w:val="16"/>
          <w:szCs w:val="16"/>
          <w:color w:val="auto"/>
        </w:rPr>
        <w:t>Filing Party:</w:t>
      </w:r>
    </w:p>
    <w:p>
      <w:pPr>
        <w:spacing w:after="0" w:line="172" w:lineRule="exact"/>
        <w:rPr>
          <w:rFonts w:ascii="Arial" w:cs="Arial" w:eastAsia="Arial" w:hAnsi="Arial"/>
          <w:sz w:val="16"/>
          <w:szCs w:val="16"/>
          <w:color w:val="auto"/>
        </w:rPr>
      </w:pPr>
    </w:p>
    <w:p>
      <w:pPr>
        <w:ind w:left="1040" w:hanging="425"/>
        <w:spacing w:after="0"/>
        <w:tabs>
          <w:tab w:leader="none" w:pos="1040" w:val="left"/>
        </w:tabs>
        <w:numPr>
          <w:ilvl w:val="1"/>
          <w:numId w:val="5"/>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615315</wp:posOffset>
            </wp:positionH>
            <wp:positionV relativeFrom="paragraph">
              <wp:posOffset>-2190115</wp:posOffset>
            </wp:positionV>
            <wp:extent cx="5090795"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090795" cy="7620"/>
                    </a:xfrm>
                    <a:prstGeom prst="rect">
                      <a:avLst/>
                    </a:prstGeom>
                    <a:noFill/>
                  </pic:spPr>
                </pic:pic>
              </a:graphicData>
            </a:graphic>
          </wp:anchor>
        </w:drawing>
        <w:drawing>
          <wp:anchor simplePos="0" relativeHeight="251657728" behindDoc="1" locked="0" layoutInCell="0" allowOverlap="1">
            <wp:simplePos x="0" y="0"/>
            <wp:positionH relativeFrom="column">
              <wp:posOffset>615315</wp:posOffset>
            </wp:positionH>
            <wp:positionV relativeFrom="paragraph">
              <wp:posOffset>-1963420</wp:posOffset>
            </wp:positionV>
            <wp:extent cx="5090795"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090795" cy="7620"/>
                    </a:xfrm>
                    <a:prstGeom prst="rect">
                      <a:avLst/>
                    </a:prstGeom>
                    <a:noFill/>
                  </pic:spPr>
                </pic:pic>
              </a:graphicData>
            </a:graphic>
          </wp:anchor>
        </w:drawing>
        <w:drawing>
          <wp:anchor simplePos="0" relativeHeight="251657728" behindDoc="1" locked="0" layoutInCell="0" allowOverlap="1">
            <wp:simplePos x="0" y="0"/>
            <wp:positionH relativeFrom="column">
              <wp:posOffset>615315</wp:posOffset>
            </wp:positionH>
            <wp:positionV relativeFrom="paragraph">
              <wp:posOffset>-1639570</wp:posOffset>
            </wp:positionV>
            <wp:extent cx="5090795"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090795" cy="7620"/>
                    </a:xfrm>
                    <a:prstGeom prst="rect">
                      <a:avLst/>
                    </a:prstGeom>
                    <a:noFill/>
                  </pic:spPr>
                </pic:pic>
              </a:graphicData>
            </a:graphic>
          </wp:anchor>
        </w:drawing>
        <w:drawing>
          <wp:anchor simplePos="0" relativeHeight="251657728" behindDoc="1" locked="0" layoutInCell="0" allowOverlap="1">
            <wp:simplePos x="0" y="0"/>
            <wp:positionH relativeFrom="column">
              <wp:posOffset>615315</wp:posOffset>
            </wp:positionH>
            <wp:positionV relativeFrom="paragraph">
              <wp:posOffset>-1412875</wp:posOffset>
            </wp:positionV>
            <wp:extent cx="5090795"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090795" cy="7620"/>
                    </a:xfrm>
                    <a:prstGeom prst="rect">
                      <a:avLst/>
                    </a:prstGeom>
                    <a:noFill/>
                  </pic:spPr>
                </pic:pic>
              </a:graphicData>
            </a:graphic>
          </wp:anchor>
        </w:drawing>
        <w:drawing>
          <wp:anchor simplePos="0" relativeHeight="251657728" behindDoc="1" locked="0" layoutInCell="0" allowOverlap="1">
            <wp:simplePos x="0" y="0"/>
            <wp:positionH relativeFrom="column">
              <wp:posOffset>615315</wp:posOffset>
            </wp:positionH>
            <wp:positionV relativeFrom="paragraph">
              <wp:posOffset>-1186815</wp:posOffset>
            </wp:positionV>
            <wp:extent cx="5090795"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090795" cy="7620"/>
                    </a:xfrm>
                    <a:prstGeom prst="rect">
                      <a:avLst/>
                    </a:prstGeom>
                    <a:noFill/>
                  </pic:spPr>
                </pic:pic>
              </a:graphicData>
            </a:graphic>
          </wp:anchor>
        </w:drawing>
        <w:drawing>
          <wp:anchor simplePos="0" relativeHeight="251657728" behindDoc="1" locked="0" layoutInCell="0" allowOverlap="1">
            <wp:simplePos x="0" y="0"/>
            <wp:positionH relativeFrom="column">
              <wp:posOffset>652780</wp:posOffset>
            </wp:positionH>
            <wp:positionV relativeFrom="paragraph">
              <wp:posOffset>-568325</wp:posOffset>
            </wp:positionV>
            <wp:extent cx="5053330"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053330" cy="7620"/>
                    </a:xfrm>
                    <a:prstGeom prst="rect">
                      <a:avLst/>
                    </a:prstGeom>
                    <a:noFill/>
                  </pic:spPr>
                </pic:pic>
              </a:graphicData>
            </a:graphic>
          </wp:anchor>
        </w:drawing>
        <w:drawing>
          <wp:anchor simplePos="0" relativeHeight="251657728" behindDoc="1" locked="0" layoutInCell="0" allowOverlap="1">
            <wp:simplePos x="0" y="0"/>
            <wp:positionH relativeFrom="column">
              <wp:posOffset>652780</wp:posOffset>
            </wp:positionH>
            <wp:positionV relativeFrom="paragraph">
              <wp:posOffset>-342265</wp:posOffset>
            </wp:positionV>
            <wp:extent cx="5053330"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053330" cy="7620"/>
                    </a:xfrm>
                    <a:prstGeom prst="rect">
                      <a:avLst/>
                    </a:prstGeom>
                    <a:noFill/>
                  </pic:spPr>
                </pic:pic>
              </a:graphicData>
            </a:graphic>
          </wp:anchor>
        </w:drawing>
        <w:drawing>
          <wp:anchor simplePos="0" relativeHeight="251657728" behindDoc="1" locked="0" layoutInCell="0" allowOverlap="1">
            <wp:simplePos x="0" y="0"/>
            <wp:positionH relativeFrom="column">
              <wp:posOffset>652780</wp:posOffset>
            </wp:positionH>
            <wp:positionV relativeFrom="paragraph">
              <wp:posOffset>-115570</wp:posOffset>
            </wp:positionV>
            <wp:extent cx="5053330"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053330" cy="7620"/>
                    </a:xfrm>
                    <a:prstGeom prst="rect">
                      <a:avLst/>
                    </a:prstGeom>
                    <a:noFill/>
                  </pic:spPr>
                </pic:pic>
              </a:graphicData>
            </a:graphic>
          </wp:anchor>
        </w:drawing>
        <w:drawing>
          <wp:anchor simplePos="0" relativeHeight="251657728" behindDoc="1" locked="0" layoutInCell="0" allowOverlap="1">
            <wp:simplePos x="0" y="0"/>
            <wp:positionH relativeFrom="column">
              <wp:posOffset>652780</wp:posOffset>
            </wp:positionH>
            <wp:positionV relativeFrom="paragraph">
              <wp:posOffset>109855</wp:posOffset>
            </wp:positionV>
            <wp:extent cx="505333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053330" cy="7620"/>
                    </a:xfrm>
                    <a:prstGeom prst="rect">
                      <a:avLst/>
                    </a:prstGeom>
                    <a:noFill/>
                  </pic:spPr>
                </pic:pic>
              </a:graphicData>
            </a:graphic>
          </wp:anchor>
        </w:drawing>
        <w:drawing>
          <wp:anchor simplePos="0" relativeHeight="251657728" behindDoc="1" locked="0" layoutInCell="0" allowOverlap="1">
            <wp:simplePos x="0" y="0"/>
            <wp:positionH relativeFrom="column">
              <wp:posOffset>-17780</wp:posOffset>
            </wp:positionH>
            <wp:positionV relativeFrom="paragraph">
              <wp:posOffset>600075</wp:posOffset>
            </wp:positionV>
            <wp:extent cx="5769610" cy="22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69610" cy="22860"/>
                    </a:xfrm>
                    <a:prstGeom prst="rect">
                      <a:avLst/>
                    </a:prstGeom>
                    <a:noFill/>
                  </pic:spPr>
                </pic:pic>
              </a:graphicData>
            </a:graphic>
          </wp:anchor>
        </w:drawing>
      </w:r>
    </w:p>
    <w:p>
      <w:pPr>
        <w:sectPr>
          <w:pgSz w:w="11900" w:h="16838" w:orient="portrait"/>
          <w:cols w:equalWidth="0" w:num="1">
            <w:col w:w="9019"/>
          </w:cols>
          <w:pgMar w:left="1440" w:top="195" w:right="1440"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481330</wp:posOffset>
            </wp:positionH>
            <wp:positionV relativeFrom="page">
              <wp:posOffset>186690</wp:posOffset>
            </wp:positionV>
            <wp:extent cx="6599555" cy="52870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599555" cy="528701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481330</wp:posOffset>
            </wp:positionH>
            <wp:positionV relativeFrom="page">
              <wp:posOffset>88900</wp:posOffset>
            </wp:positionV>
            <wp:extent cx="6682105" cy="5287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682105" cy="528701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481330</wp:posOffset>
            </wp:positionH>
            <wp:positionV relativeFrom="page">
              <wp:posOffset>186690</wp:posOffset>
            </wp:positionV>
            <wp:extent cx="6607175" cy="52870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07175" cy="528701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481330</wp:posOffset>
            </wp:positionH>
            <wp:positionV relativeFrom="page">
              <wp:posOffset>88900</wp:posOffset>
            </wp:positionV>
            <wp:extent cx="6682105" cy="51892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82105" cy="518922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2019-12-03T20:47:37Z</dcterms:created>
  <dcterms:modified xsi:type="dcterms:W3CDTF">2019-12-03T20:47:37Z</dcterms:modified>
</cp:coreProperties>
</file>