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Rishe Bryan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SVP, Sales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2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05/10/2019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4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9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05/10/2019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1,246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55.49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48,435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jc w:val="center"/>
              <w:ind w:left="8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8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900" w:type="dxa"/>
            <w:vAlign w:val="bottom"/>
            <w:gridSpan w:val="2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9"/>
              </w:rPr>
              <w:t>1. Consists entirely of shares of stock withheld by the issuer to satisfy the reporting person's tax withholding obligation upon the vesting of restricted stock units.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Jonathan R. Zimmerman,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05/14/2019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7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32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2019-12-24T07:29:29Z</dcterms:created>
  <dcterms:modified xsi:type="dcterms:W3CDTF">2019-12-24T07:29:29Z</dcterms:modified>
</cp:coreProperties>
</file>