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60"/>
        <w:ind w:left="0" w:right="0" w:hanging="0"/>
        <w:jc w:val="left"/>
        <w:rPr/>
      </w:pPr>
      <w:hyperlink w:anchor="TOC">
        <w:bookmarkStart w:id="0" w:name="tcmd-20260630x10q.htm"/>
        <w:bookmarkStart w:id="1" w:name="kstcmd20260630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8" w:space="1" w:color="000000"/>
        </w:pBdr>
        <w:shd w:fill="FFFFFF" w:val="clear"/>
        <w:bidi w:val="0"/>
        <w:spacing w:before="0" w:after="0"/>
        <w:ind w:left="0" w:right="0" w:hanging="0"/>
        <w:jc w:val="center"/>
        <w:rPr>
          <w:rFonts w:ascii="Arial;Helvetica;sans-serif" w:hAnsi="Arial;Helvetica;sans-serif"/>
          <w:b/>
          <w:sz w:val="36"/>
          <w:bdr w:val="single" w:sz="24" w:space="1" w:color="000000"/>
        </w:rPr>
      </w:pPr>
      <w:bookmarkStart w:id="2" w:name="_5674d454_fdb8_46d7_98b2_10c79a57619b"/>
      <w:bookmarkEnd w:id="2"/>
      <w:r>
        <w:rPr>
          <w:rFonts w:ascii="Arial;Helvetica;sans-serif" w:hAnsi="Arial;Helvetica;sans-serif"/>
          <w:b/>
          <w:sz w:val="36"/>
          <w:bdr w:val="single" w:sz="24" w:space="1" w:color="000000"/>
        </w:rPr>
        <w:t>UNITED STATES</w:t>
      </w:r>
    </w:p>
    <w:p>
      <w:pPr>
        <w:pStyle w:val="TextBody"/>
        <w:pBdr/>
        <w:shd w:fill="FFFFFF" w:val="clear"/>
        <w:bidi w:val="0"/>
        <w:spacing w:before="0" w:after="0"/>
        <w:ind w:left="0" w:right="0" w:hanging="0"/>
        <w:jc w:val="center"/>
        <w:rPr>
          <w:rFonts w:ascii="Arial;Helvetica;sans-serif" w:hAnsi="Arial;Helvetica;sans-serif"/>
          <w:b/>
          <w:sz w:val="36"/>
        </w:rPr>
      </w:pPr>
      <w:r>
        <w:rPr>
          <w:rFonts w:ascii="Arial;Helvetica;sans-serif" w:hAnsi="Arial;Helvetica;sans-serif"/>
          <w:b/>
          <w:sz w:val="36"/>
        </w:rPr>
        <w:t>SECURITIES AND EXCHANGE COMMISSION</w:t>
      </w:r>
    </w:p>
    <w:p>
      <w:pPr>
        <w:pStyle w:val="TextBody"/>
        <w:pBdr/>
        <w:shd w:fill="FFFFFF" w:val="clear"/>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shd w:fill="FFFFFF" w:val="clear"/>
        <w:bidi w:val="0"/>
        <w:spacing w:before="0" w:after="0"/>
        <w:ind w:left="0" w:right="0" w:hanging="0"/>
        <w:jc w:val="center"/>
        <w:rPr>
          <w:rFonts w:ascii="Arial;Helvetica;sans-serif" w:hAnsi="Arial;Helvetica;sans-serif"/>
          <w:b/>
          <w:sz w:val="36"/>
        </w:rPr>
      </w:pPr>
      <w:r>
        <w:rPr>
          <w:rFonts w:ascii="Arial;Helvetica;sans-serif" w:hAnsi="Arial;Helvetica;sans-serif"/>
          <w:b/>
          <w:sz w:val="36"/>
        </w:rPr>
        <w:t>FORM 10-Q</w:t>
      </w:r>
    </w:p>
    <w:p>
      <w:pPr>
        <w:pStyle w:val="TextBody"/>
        <w:pBdr/>
        <w:shd w:fill="FFFFFF" w:val="clear"/>
        <w:bidi w:val="0"/>
        <w:spacing w:before="0" w:after="0"/>
        <w:ind w:left="0" w:right="0" w:hanging="0"/>
        <w:jc w:val="center"/>
        <w:rPr/>
      </w:pPr>
      <w:r>
        <w:rPr/>
        <w:t xml:space="preserve">☑ </w:t>
      </w:r>
      <w:r>
        <w:rPr>
          <w:rFonts w:ascii="Arial;Helvetica;sans-serif" w:hAnsi="Arial;Helvetica;sans-serif"/>
          <w:b/>
          <w:sz w:val="18"/>
        </w:rPr>
        <w:t>QUARTERLY REPORT PURSUANT TO SECTION 13 OR 15(d) OF THE SECURITIES EXCHANGE ACT OF 1934</w:t>
      </w:r>
    </w:p>
    <w:p>
      <w:pPr>
        <w:pStyle w:val="TextBody"/>
        <w:pBdr/>
        <w:shd w:fill="FFFFFF" w:val="clear"/>
        <w:bidi w:val="0"/>
        <w:spacing w:before="0" w:after="0"/>
        <w:ind w:left="0" w:right="0" w:hanging="0"/>
        <w:jc w:val="center"/>
        <w:rPr>
          <w:rFonts w:ascii="Arial;Helvetica;sans-serif" w:hAnsi="Arial;Helvetica;sans-serif"/>
          <w:sz w:val="18"/>
        </w:rPr>
      </w:pPr>
      <w:r>
        <w:rPr>
          <w:rFonts w:ascii="Arial;Helvetica;sans-serif" w:hAnsi="Arial;Helvetica;sans-serif"/>
          <w:sz w:val="18"/>
        </w:rPr>
        <w:t>For the quarterly period ended: June 30, 2026</w:t>
      </w:r>
    </w:p>
    <w:p>
      <w:pPr>
        <w:pStyle w:val="TextBody"/>
        <w:pBdr/>
        <w:shd w:fill="FFFFFF" w:val="clear"/>
        <w:bidi w:val="0"/>
        <w:spacing w:before="0" w:after="0"/>
        <w:ind w:left="0" w:right="0" w:hanging="0"/>
        <w:jc w:val="center"/>
        <w:rPr>
          <w:rFonts w:ascii="Arial;Helvetica;sans-serif" w:hAnsi="Arial;Helvetica;sans-serif"/>
          <w:sz w:val="18"/>
        </w:rPr>
      </w:pPr>
      <w:r>
        <w:rPr>
          <w:rFonts w:ascii="Arial;Helvetica;sans-serif" w:hAnsi="Arial;Helvetica;sans-serif"/>
          <w:sz w:val="18"/>
        </w:rPr>
        <w:t>or</w:t>
      </w:r>
    </w:p>
    <w:p>
      <w:pPr>
        <w:pStyle w:val="TextBody"/>
        <w:pBdr/>
        <w:shd w:fill="FFFFFF" w:val="clear"/>
        <w:bidi w:val="0"/>
        <w:spacing w:before="0" w:after="0"/>
        <w:ind w:left="0" w:right="0" w:hanging="0"/>
        <w:jc w:val="center"/>
        <w:rPr/>
      </w:pPr>
      <w:r>
        <w:rPr/>
        <w:t xml:space="preserve">☐ </w:t>
      </w:r>
      <w:r>
        <w:rPr>
          <w:rFonts w:ascii="Arial;Helvetica;sans-serif" w:hAnsi="Arial;Helvetica;sans-serif"/>
          <w:b/>
          <w:sz w:val="18"/>
        </w:rPr>
        <w:t>TRANSITION REPORT PURSUANT TO SECTION 13 OR 15(d) OF THE SECURITIES EXCHANGE ACT OF 1934</w:t>
      </w:r>
    </w:p>
    <w:p>
      <w:pPr>
        <w:pStyle w:val="TextBody"/>
        <w:pBdr/>
        <w:shd w:fill="FFFFFF" w:val="clear"/>
        <w:bidi w:val="0"/>
        <w:spacing w:before="0" w:after="0"/>
        <w:ind w:left="0" w:right="0" w:hanging="0"/>
        <w:jc w:val="center"/>
        <w:rPr>
          <w:rFonts w:ascii="Arial;Helvetica;sans-serif" w:hAnsi="Arial;Helvetica;sans-serif"/>
          <w:sz w:val="18"/>
        </w:rPr>
      </w:pPr>
      <w:r>
        <w:rPr>
          <w:rFonts w:ascii="Arial;Helvetica;sans-serif" w:hAnsi="Arial;Helvetica;sans-serif"/>
          <w:sz w:val="18"/>
        </w:rPr>
        <w:t xml:space="preserve">For the transition period from to </w:t>
      </w:r>
    </w:p>
    <w:p>
      <w:pPr>
        <w:pStyle w:val="TextBody"/>
        <w:shd w:fill="FFFFFF" w:val="clear"/>
        <w:bidi w:val="0"/>
        <w:spacing w:before="0" w:after="60"/>
        <w:ind w:left="0" w:right="0" w:hanging="0"/>
        <w:jc w:val="center"/>
        <w:rPr>
          <w:rFonts w:ascii="Times New Roman;Times;serif" w:hAnsi="Times New Roman;Times;serif"/>
          <w:sz w:val="20"/>
        </w:rPr>
      </w:pPr>
      <w:r>
        <w:rPr>
          <w:rFonts w:ascii="Arial;Helvetica;sans-serif" w:hAnsi="Arial;Helvetica;sans-serif"/>
          <w:sz w:val="18"/>
        </w:rPr>
        <w:t xml:space="preserve">Commission File Number: </w:t>
      </w:r>
      <w:r>
        <w:rPr>
          <w:rFonts w:ascii="Arial;Helvetica;sans-serif" w:hAnsi="Arial;Helvetica;sans-serif"/>
          <w:b/>
          <w:sz w:val="18"/>
        </w:rPr>
        <w:t>001-37799</w:t>
      </w:r>
    </w:p>
    <w:p>
      <w:pPr>
        <w:pStyle w:val="TextBody"/>
        <w:pBdr/>
        <w:shd w:fill="FFFFFF" w:val="clear"/>
        <w:bidi w:val="0"/>
        <w:spacing w:before="0" w:after="0"/>
        <w:ind w:left="0" w:right="0" w:hanging="0"/>
        <w:jc w:val="center"/>
        <w:rPr>
          <w:rFonts w:ascii="Arial;Helvetica;sans-serif" w:hAnsi="Arial;Helvetica;sans-serif"/>
          <w:b/>
          <w:sz w:val="36"/>
        </w:rPr>
      </w:pPr>
      <w:r>
        <w:rPr>
          <w:rFonts w:ascii="Arial;Helvetica;sans-serif" w:hAnsi="Arial;Helvetica;sans-serif"/>
          <w:b/>
          <w:sz w:val="36"/>
        </w:rPr>
        <w:t>Tactile Systems Technology, Inc.</w:t>
      </w:r>
    </w:p>
    <w:p>
      <w:pPr>
        <w:pStyle w:val="TextBody"/>
        <w:shd w:fill="FFFFFF" w:val="clear"/>
        <w:bidi w:val="0"/>
        <w:spacing w:before="0" w:after="0"/>
        <w:ind w:left="0" w:right="0" w:hanging="0"/>
        <w:jc w:val="center"/>
        <w:rPr>
          <w:rFonts w:ascii="Arial;Helvetica;sans-serif" w:hAnsi="Arial;Helvetica;sans-serif"/>
          <w:sz w:val="16"/>
        </w:rPr>
      </w:pPr>
      <w:r>
        <w:rPr>
          <w:rFonts w:ascii="Arial;Helvetica;sans-serif" w:hAnsi="Arial;Helvetica;sans-serif"/>
          <w:sz w:val="16"/>
        </w:rPr>
        <w:t>(Exact name of registrant as specified in its charter)</w:t>
      </w:r>
    </w:p>
    <w:p>
      <w:pPr>
        <w:pStyle w:val="Normal"/>
        <w:bidi w:val="0"/>
        <w:spacing w:before="0" w:after="0"/>
        <w:jc w:val="left"/>
        <w:rPr>
          <w:sz w:val="4"/>
          <w:szCs w:val="4"/>
        </w:rPr>
      </w:pPr>
      <w:r>
        <w:rPr>
          <w:sz w:val="4"/>
          <w:szCs w:val="4"/>
        </w:rPr>
      </w:r>
      <w:bookmarkStart w:id="3" w:name="Tc_Y2YWhCnvW0KyQG_YRZX9kA_6_1"/>
      <w:bookmarkStart w:id="4" w:name="Tc_liWKvrLwCEeFlJfDom0z_Q_5_1"/>
      <w:bookmarkStart w:id="5" w:name="Tc_YhYHHdV2lEOg3LxvUNJIwA_3_1"/>
      <w:bookmarkStart w:id="6" w:name="Tc_ZZHcvs70HU-NJKr4sEXK9g_2_2"/>
      <w:bookmarkStart w:id="7" w:name="Tc_AHXs1qNTuUSJjU_oJgNlCg_2_1"/>
      <w:bookmarkStart w:id="8" w:name="Tc_h1_-EoIwuEGBSP-RarW5yQ_2_0"/>
      <w:bookmarkStart w:id="9" w:name="Tc_KciXBIEqkU2NmFVa5qKHXA_1_1"/>
      <w:bookmarkStart w:id="10" w:name="_0b09d743_33da_4f22_9f6a_69c669372741"/>
      <w:bookmarkStart w:id="11" w:name="Tc_Y2YWhCnvW0KyQG_YRZX9kA_6_1"/>
      <w:bookmarkStart w:id="12" w:name="Tc_liWKvrLwCEeFlJfDom0z_Q_5_1"/>
      <w:bookmarkStart w:id="13" w:name="Tc_YhYHHdV2lEOg3LxvUNJIwA_3_1"/>
      <w:bookmarkStart w:id="14" w:name="Tc_ZZHcvs70HU-NJKr4sEXK9g_2_2"/>
      <w:bookmarkStart w:id="15" w:name="Tc_AHXs1qNTuUSJjU_oJgNlCg_2_1"/>
      <w:bookmarkStart w:id="16" w:name="Tc_h1_-EoIwuEGBSP-RarW5yQ_2_0"/>
      <w:bookmarkStart w:id="17" w:name="Tc_KciXBIEqkU2NmFVa5qKHXA_1_1"/>
      <w:bookmarkStart w:id="18" w:name="_0b09d743_33da_4f22_9f6a_69c669372741"/>
      <w:bookmarkEnd w:id="11"/>
      <w:bookmarkEnd w:id="12"/>
      <w:bookmarkEnd w:id="13"/>
      <w:bookmarkEnd w:id="14"/>
      <w:bookmarkEnd w:id="15"/>
      <w:bookmarkEnd w:id="16"/>
      <w:bookmarkEnd w:id="17"/>
      <w:bookmarkEnd w:id="18"/>
    </w:p>
    <w:tbl>
      <w:tblPr>
        <w:tblW w:w="8568" w:type="dxa"/>
        <w:jc w:val="left"/>
        <w:tblInd w:w="0" w:type="dxa"/>
        <w:tblLayout w:type="fixed"/>
        <w:tblCellMar>
          <w:top w:w="0" w:type="dxa"/>
          <w:left w:w="0" w:type="dxa"/>
          <w:bottom w:w="0" w:type="dxa"/>
          <w:right w:w="0" w:type="dxa"/>
        </w:tblCellMar>
      </w:tblPr>
      <w:tblGrid>
        <w:gridCol w:w="2536"/>
        <w:gridCol w:w="4456"/>
        <w:gridCol w:w="1576"/>
      </w:tblGrid>
      <w:tr>
        <w:trPr/>
        <w:tc>
          <w:tcPr>
            <w:tcW w:w="2536" w:type="dxa"/>
            <w:tcBorders/>
            <w:vAlign w:val="center"/>
          </w:tcPr>
          <w:p>
            <w:pPr>
              <w:pStyle w:val="TableContents"/>
              <w:pBdr/>
              <w:bidi w:val="0"/>
              <w:spacing w:before="0" w:after="0"/>
              <w:ind w:left="0" w:right="0" w:hanging="0"/>
              <w:jc w:val="center"/>
              <w:rPr/>
            </w:pPr>
            <w:r>
              <w:rPr/>
              <w:t> </w:t>
            </w:r>
          </w:p>
        </w:tc>
        <w:tc>
          <w:tcPr>
            <w:tcW w:w="4456" w:type="dxa"/>
            <w:tcBorders/>
            <w:vAlign w:val="center"/>
          </w:tcPr>
          <w:p>
            <w:pPr>
              <w:pStyle w:val="TableContents"/>
              <w:bidi w:val="0"/>
              <w:spacing w:before="0" w:after="283"/>
              <w:ind w:left="0" w:right="0" w:hanging="0"/>
              <w:jc w:val="left"/>
              <w:rPr>
                <w:sz w:val="4"/>
                <w:szCs w:val="4"/>
              </w:rPr>
            </w:pPr>
            <w:r>
              <w:rPr>
                <w:sz w:val="4"/>
                <w:szCs w:val="4"/>
              </w:rPr>
            </w:r>
          </w:p>
        </w:tc>
        <w:tc>
          <w:tcPr>
            <w:tcW w:w="1576" w:type="dxa"/>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pBdr/>
              <w:shd w:fill="FFFFFF" w:val="clear"/>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Delaware</w:t>
            </w:r>
          </w:p>
        </w:tc>
        <w:tc>
          <w:tcPr>
            <w:tcW w:w="4456" w:type="dxa"/>
            <w:tcBorders/>
            <w:vAlign w:val="center"/>
          </w:tcPr>
          <w:p>
            <w:pPr>
              <w:pStyle w:val="TableContents"/>
              <w:shd w:fill="FFFFFF" w:val="clear"/>
              <w:bidi w:val="0"/>
              <w:spacing w:before="0" w:after="0"/>
              <w:ind w:left="0" w:right="0" w:hanging="0"/>
              <w:jc w:val="center"/>
              <w:rPr>
                <w:rFonts w:ascii="Times New Roman;Times;serif" w:hAnsi="Times New Roman;Times;serif"/>
                <w:sz w:val="20"/>
              </w:rPr>
            </w:pPr>
            <w:r>
              <w:rPr>
                <w:rFonts w:ascii="Arial;Helvetica;sans-serif" w:hAnsi="Arial;Helvetica;sans-serif"/>
                <w:b/>
                <w:sz w:val="18"/>
              </w:rPr>
              <w:t>3701 Wayzata Blvd, Suite 300</w:t>
            </w:r>
            <w:r>
              <w:rPr>
                <w:rFonts w:ascii="Times New Roman;Times;serif" w:hAnsi="Times New Roman;Times;serif"/>
                <w:sz w:val="20"/>
              </w:rPr>
              <w:t xml:space="preserve"> </w:t>
            </w:r>
          </w:p>
        </w:tc>
        <w:tc>
          <w:tcPr>
            <w:tcW w:w="1576" w:type="dxa"/>
            <w:tcBorders/>
            <w:vAlign w:val="center"/>
          </w:tcPr>
          <w:p>
            <w:pPr>
              <w:pStyle w:val="TableContents"/>
              <w:shd w:fill="FFFFFF" w:val="clear"/>
              <w:bidi w:val="0"/>
              <w:spacing w:before="0" w:after="0"/>
              <w:ind w:left="0" w:right="0" w:hanging="0"/>
              <w:jc w:val="center"/>
              <w:rPr>
                <w:rFonts w:ascii="Arial;Helvetica;sans-serif" w:hAnsi="Arial;Helvetica;sans-serif"/>
                <w:b/>
                <w:sz w:val="18"/>
              </w:rPr>
            </w:pPr>
            <w:r>
              <w:rPr>
                <w:rFonts w:ascii="Arial;Helvetica;sans-serif" w:hAnsi="Arial;Helvetica;sans-serif"/>
                <w:b/>
                <w:sz w:val="18"/>
              </w:rPr>
              <w:t>41-1801204</w:t>
            </w:r>
          </w:p>
        </w:tc>
      </w:tr>
      <w:tr>
        <w:trPr/>
        <w:tc>
          <w:tcPr>
            <w:tcW w:w="2536" w:type="dxa"/>
            <w:tcBorders/>
            <w:vAlign w:val="center"/>
          </w:tcPr>
          <w:p>
            <w:pPr>
              <w:pStyle w:val="TableContents"/>
              <w:pBdr/>
              <w:shd w:fill="FFFFFF" w:val="clear"/>
              <w:bidi w:val="0"/>
              <w:spacing w:before="0" w:after="0"/>
              <w:ind w:left="0" w:right="0" w:hanging="144"/>
              <w:jc w:val="center"/>
              <w:rPr>
                <w:rFonts w:ascii="Arial;Helvetica;sans-serif" w:hAnsi="Arial;Helvetica;sans-serif"/>
                <w:sz w:val="18"/>
              </w:rPr>
            </w:pPr>
            <w:r>
              <w:rPr>
                <w:rFonts w:ascii="Arial;Helvetica;sans-serif" w:hAnsi="Arial;Helvetica;sans-serif"/>
                <w:sz w:val="18"/>
              </w:rPr>
              <w:t>(State or other jurisdiction of</w:t>
            </w:r>
          </w:p>
          <w:p>
            <w:pPr>
              <w:pStyle w:val="TableContents"/>
              <w:pBdr/>
              <w:shd w:fill="FFFFFF" w:val="clear"/>
              <w:bidi w:val="0"/>
              <w:spacing w:before="0" w:after="0"/>
              <w:ind w:left="0" w:right="0" w:hanging="0"/>
              <w:jc w:val="center"/>
              <w:rPr>
                <w:rFonts w:ascii="Arial;Helvetica;sans-serif" w:hAnsi="Arial;Helvetica;sans-serif"/>
                <w:sz w:val="18"/>
              </w:rPr>
            </w:pPr>
            <w:r>
              <w:rPr>
                <w:rFonts w:ascii="Arial;Helvetica;sans-serif" w:hAnsi="Arial;Helvetica;sans-serif"/>
                <w:sz w:val="18"/>
              </w:rPr>
              <w:t>incorporation or organization)</w:t>
            </w:r>
          </w:p>
        </w:tc>
        <w:tc>
          <w:tcPr>
            <w:tcW w:w="4456" w:type="dxa"/>
            <w:tcBorders/>
            <w:vAlign w:val="center"/>
          </w:tcPr>
          <w:p>
            <w:pPr>
              <w:pStyle w:val="TableContents"/>
              <w:shd w:fill="FFFFFF" w:val="clear"/>
              <w:bidi w:val="0"/>
              <w:spacing w:before="0" w:after="0"/>
              <w:ind w:left="0" w:right="0" w:hanging="0"/>
              <w:jc w:val="center"/>
              <w:rPr>
                <w:rFonts w:ascii="Times New Roman;Times;serif" w:hAnsi="Times New Roman;Times;serif"/>
                <w:sz w:val="20"/>
              </w:rPr>
            </w:pPr>
            <w:r>
              <w:rPr>
                <w:rFonts w:ascii="Arial;Helvetica;sans-serif" w:hAnsi="Arial;Helvetica;sans-serif"/>
                <w:b/>
                <w:sz w:val="18"/>
              </w:rPr>
              <w:t>Minneapolis, Minnesota</w:t>
            </w:r>
            <w:r>
              <w:rPr>
                <w:rFonts w:ascii="Times New Roman;Times;serif" w:hAnsi="Times New Roman;Times;serif"/>
                <w:sz w:val="20"/>
              </w:rPr>
              <w:t xml:space="preserve"> </w:t>
            </w:r>
            <w:r>
              <w:rPr>
                <w:rFonts w:ascii="Arial;Helvetica;sans-serif" w:hAnsi="Arial;Helvetica;sans-serif"/>
                <w:b/>
                <w:sz w:val="18"/>
              </w:rPr>
              <w:t>55416</w:t>
            </w:r>
          </w:p>
        </w:tc>
        <w:tc>
          <w:tcPr>
            <w:tcW w:w="1576" w:type="dxa"/>
            <w:tcBorders/>
            <w:vAlign w:val="center"/>
          </w:tcPr>
          <w:p>
            <w:pPr>
              <w:pStyle w:val="TableContents"/>
              <w:shd w:fill="FFFFFF" w:val="clear"/>
              <w:bidi w:val="0"/>
              <w:spacing w:before="0" w:after="0"/>
              <w:ind w:left="0" w:right="0" w:hanging="0"/>
              <w:jc w:val="center"/>
              <w:rPr>
                <w:rFonts w:ascii="Arial;Helvetica;sans-serif" w:hAnsi="Arial;Helvetica;sans-serif"/>
                <w:sz w:val="18"/>
              </w:rPr>
            </w:pPr>
            <w:r>
              <w:rPr>
                <w:rFonts w:ascii="Arial;Helvetica;sans-serif" w:hAnsi="Arial;Helvetica;sans-serif"/>
                <w:sz w:val="18"/>
              </w:rPr>
              <w:t>(I.R.S. Employer</w:t>
            </w:r>
          </w:p>
          <w:p>
            <w:pPr>
              <w:pStyle w:val="TableContents"/>
              <w:shd w:fill="FFFFFF" w:val="clear"/>
              <w:bidi w:val="0"/>
              <w:spacing w:before="0" w:after="0"/>
              <w:ind w:left="0" w:right="0" w:hanging="0"/>
              <w:jc w:val="center"/>
              <w:rPr>
                <w:rFonts w:ascii="Arial;Helvetica;sans-serif" w:hAnsi="Arial;Helvetica;sans-serif"/>
                <w:sz w:val="18"/>
              </w:rPr>
            </w:pPr>
            <w:r>
              <w:rPr>
                <w:rFonts w:ascii="Arial;Helvetica;sans-serif" w:hAnsi="Arial;Helvetica;sans-serif"/>
                <w:sz w:val="18"/>
              </w:rPr>
              <w:t>Identification No.)</w:t>
            </w:r>
          </w:p>
        </w:tc>
      </w:tr>
      <w:tr>
        <w:trPr/>
        <w:tc>
          <w:tcPr>
            <w:tcW w:w="2536" w:type="dxa"/>
            <w:tcBorders/>
            <w:vAlign w:val="center"/>
          </w:tcPr>
          <w:p>
            <w:pPr>
              <w:pStyle w:val="TableContents"/>
              <w:pBdr/>
              <w:shd w:fill="FFFFFF" w:val="clear"/>
              <w:bidi w:val="0"/>
              <w:spacing w:before="0" w:after="0"/>
              <w:ind w:left="0" w:right="0" w:hanging="0"/>
              <w:jc w:val="center"/>
              <w:rPr/>
            </w:pPr>
            <w:r>
              <w:rPr/>
              <w:t>​</w:t>
            </w:r>
          </w:p>
        </w:tc>
        <w:tc>
          <w:tcPr>
            <w:tcW w:w="4456" w:type="dxa"/>
            <w:tcBorders/>
            <w:vAlign w:val="center"/>
          </w:tcPr>
          <w:p>
            <w:pPr>
              <w:pStyle w:val="TableContents"/>
              <w:shd w:fill="FFFFFF" w:val="clear"/>
              <w:bidi w:val="0"/>
              <w:spacing w:before="0" w:after="0"/>
              <w:ind w:left="0" w:right="0" w:hanging="0"/>
              <w:jc w:val="center"/>
              <w:rPr>
                <w:rFonts w:ascii="Arial;Helvetica;sans-serif" w:hAnsi="Arial;Helvetica;sans-serif"/>
                <w:sz w:val="18"/>
              </w:rPr>
            </w:pPr>
            <w:r>
              <w:rPr>
                <w:rFonts w:ascii="Arial;Helvetica;sans-serif" w:hAnsi="Arial;Helvetica;sans-serif"/>
                <w:sz w:val="18"/>
              </w:rPr>
              <w:t>(Address and zip code of principal executive offices)</w:t>
            </w:r>
          </w:p>
        </w:tc>
        <w:tc>
          <w:tcPr>
            <w:tcW w:w="1576" w:type="dxa"/>
            <w:tcBorders/>
            <w:vAlign w:val="center"/>
          </w:tcPr>
          <w:p>
            <w:pPr>
              <w:pStyle w:val="TableContents"/>
              <w:shd w:fill="FFFFFF" w:val="clear"/>
              <w:bidi w:val="0"/>
              <w:spacing w:before="0" w:after="0"/>
              <w:ind w:left="0" w:right="0" w:hanging="0"/>
              <w:jc w:val="center"/>
              <w:rPr/>
            </w:pPr>
            <w:r>
              <w:rPr/>
              <w:t>​</w:t>
            </w:r>
          </w:p>
        </w:tc>
      </w:tr>
      <w:tr>
        <w:trPr/>
        <w:tc>
          <w:tcPr>
            <w:tcW w:w="2536" w:type="dxa"/>
            <w:tcBorders/>
            <w:vAlign w:val="center"/>
          </w:tcPr>
          <w:p>
            <w:pPr>
              <w:pStyle w:val="TableContents"/>
              <w:pBdr/>
              <w:shd w:fill="FFFFFF" w:val="clear"/>
              <w:bidi w:val="0"/>
              <w:spacing w:before="0" w:after="0"/>
              <w:ind w:left="0" w:right="0" w:hanging="0"/>
              <w:jc w:val="center"/>
              <w:rPr/>
            </w:pPr>
            <w:r>
              <w:rPr/>
              <w:t>​</w:t>
            </w:r>
          </w:p>
        </w:tc>
        <w:tc>
          <w:tcPr>
            <w:tcW w:w="4456" w:type="dxa"/>
            <w:tcBorders/>
            <w:vAlign w:val="center"/>
          </w:tcPr>
          <w:p>
            <w:pPr>
              <w:pStyle w:val="TableContents"/>
              <w:pBdr/>
              <w:shd w:fill="FFFFFF" w:val="clear"/>
              <w:bidi w:val="0"/>
              <w:spacing w:before="0" w:after="0"/>
              <w:ind w:left="0" w:right="0" w:hanging="0"/>
              <w:jc w:val="center"/>
              <w:rPr/>
            </w:pPr>
            <w:r>
              <w:rPr/>
              <w:t>​</w:t>
            </w:r>
          </w:p>
        </w:tc>
        <w:tc>
          <w:tcPr>
            <w:tcW w:w="1576" w:type="dxa"/>
            <w:tcBorders/>
            <w:vAlign w:val="center"/>
          </w:tcPr>
          <w:p>
            <w:pPr>
              <w:pStyle w:val="TableContents"/>
              <w:shd w:fill="FFFFFF" w:val="clear"/>
              <w:bidi w:val="0"/>
              <w:spacing w:before="0" w:after="0"/>
              <w:ind w:left="0" w:right="0" w:hanging="0"/>
              <w:jc w:val="center"/>
              <w:rPr/>
            </w:pPr>
            <w:r>
              <w:rPr/>
              <w:t>​</w:t>
            </w:r>
          </w:p>
        </w:tc>
      </w:tr>
      <w:tr>
        <w:trPr/>
        <w:tc>
          <w:tcPr>
            <w:tcW w:w="2536" w:type="dxa"/>
            <w:tcBorders/>
            <w:vAlign w:val="center"/>
          </w:tcPr>
          <w:p>
            <w:pPr>
              <w:pStyle w:val="TableContents"/>
              <w:pBdr/>
              <w:shd w:fill="FFFFFF" w:val="clear"/>
              <w:bidi w:val="0"/>
              <w:spacing w:before="0" w:after="0"/>
              <w:ind w:left="0" w:right="0" w:hanging="0"/>
              <w:jc w:val="center"/>
              <w:rPr/>
            </w:pPr>
            <w:r>
              <w:rPr/>
              <w:t>​</w:t>
            </w:r>
          </w:p>
        </w:tc>
        <w:tc>
          <w:tcPr>
            <w:tcW w:w="4456" w:type="dxa"/>
            <w:tcBorders/>
            <w:vAlign w:val="center"/>
          </w:tcPr>
          <w:p>
            <w:pPr>
              <w:pStyle w:val="TableContents"/>
              <w:pBdr/>
              <w:shd w:fill="FFFFFF" w:val="clear"/>
              <w:bidi w:val="0"/>
              <w:spacing w:before="0" w:after="60"/>
              <w:ind w:left="0" w:right="0" w:hanging="0"/>
              <w:jc w:val="center"/>
              <w:rPr>
                <w:rFonts w:ascii="Arial;Helvetica;sans-serif" w:hAnsi="Arial;Helvetica;sans-serif"/>
                <w:b/>
                <w:sz w:val="18"/>
              </w:rPr>
            </w:pPr>
            <w:r>
              <w:rPr>
                <w:rFonts w:ascii="Arial;Helvetica;sans-serif" w:hAnsi="Arial;Helvetica;sans-serif"/>
                <w:b/>
                <w:sz w:val="18"/>
              </w:rPr>
              <w:t>(612) 355-5100</w:t>
            </w:r>
          </w:p>
        </w:tc>
        <w:tc>
          <w:tcPr>
            <w:tcW w:w="1576" w:type="dxa"/>
            <w:tcBorders/>
            <w:vAlign w:val="center"/>
          </w:tcPr>
          <w:p>
            <w:pPr>
              <w:pStyle w:val="TableContents"/>
              <w:shd w:fill="FFFFFF" w:val="clear"/>
              <w:bidi w:val="0"/>
              <w:spacing w:before="0" w:after="0"/>
              <w:ind w:left="0" w:right="0" w:hanging="0"/>
              <w:jc w:val="center"/>
              <w:rPr/>
            </w:pPr>
            <w:r>
              <w:rPr/>
              <w:t>​</w:t>
            </w:r>
          </w:p>
        </w:tc>
      </w:tr>
      <w:tr>
        <w:trPr/>
        <w:tc>
          <w:tcPr>
            <w:tcW w:w="2536" w:type="dxa"/>
            <w:tcBorders/>
            <w:vAlign w:val="center"/>
          </w:tcPr>
          <w:p>
            <w:pPr>
              <w:pStyle w:val="TableContents"/>
              <w:pBdr/>
              <w:shd w:fill="FFFFFF" w:val="clear"/>
              <w:bidi w:val="0"/>
              <w:spacing w:before="0" w:after="0"/>
              <w:ind w:left="0" w:right="0" w:hanging="0"/>
              <w:jc w:val="center"/>
              <w:rPr/>
            </w:pPr>
            <w:r>
              <w:rPr/>
              <w:t>​</w:t>
            </w:r>
          </w:p>
        </w:tc>
        <w:tc>
          <w:tcPr>
            <w:tcW w:w="4456" w:type="dxa"/>
            <w:tcBorders/>
            <w:vAlign w:val="center"/>
          </w:tcPr>
          <w:p>
            <w:pPr>
              <w:pStyle w:val="TableContents"/>
              <w:pBdr/>
              <w:shd w:fill="FFFFFF" w:val="clear"/>
              <w:bidi w:val="0"/>
              <w:spacing w:before="0" w:after="0"/>
              <w:ind w:left="0" w:right="0" w:hanging="0"/>
              <w:jc w:val="center"/>
              <w:rPr>
                <w:rFonts w:ascii="Arial;Helvetica;sans-serif" w:hAnsi="Arial;Helvetica;sans-serif"/>
                <w:sz w:val="18"/>
              </w:rPr>
            </w:pPr>
            <w:r>
              <w:rPr>
                <w:rFonts w:ascii="Arial;Helvetica;sans-serif" w:hAnsi="Arial;Helvetica;sans-serif"/>
                <w:sz w:val="18"/>
              </w:rPr>
              <w:t>(Registrant’s telephone number, including area code)</w:t>
            </w:r>
          </w:p>
        </w:tc>
        <w:tc>
          <w:tcPr>
            <w:tcW w:w="1576" w:type="dxa"/>
            <w:tcBorders/>
            <w:vAlign w:val="center"/>
          </w:tcPr>
          <w:p>
            <w:pPr>
              <w:pStyle w:val="TableContents"/>
              <w:shd w:fill="FFFFFF" w:val="clear"/>
              <w:bidi w:val="0"/>
              <w:spacing w:before="0" w:after="0"/>
              <w:ind w:left="0" w:right="0" w:hanging="0"/>
              <w:jc w:val="center"/>
              <w:rPr/>
            </w:pPr>
            <w:r>
              <w:rPr/>
              <w:t>​</w:t>
            </w:r>
          </w:p>
        </w:tc>
      </w:tr>
    </w:tbl>
    <w:p>
      <w:pPr>
        <w:pStyle w:val="TextBody"/>
        <w:shd w:fill="FFFFFF" w:val="clear"/>
        <w:bidi w:val="0"/>
        <w:spacing w:before="0" w:after="0"/>
        <w:ind w:left="0" w:right="0" w:hanging="0"/>
        <w:jc w:val="center"/>
        <w:rPr/>
      </w:pPr>
      <w:r>
        <w:rPr/>
        <w:t>​</w:t>
      </w:r>
    </w:p>
    <w:p>
      <w:pPr>
        <w:pStyle w:val="TextBody"/>
        <w:pBdr/>
        <w:shd w:fill="FFFFFF" w:val="clear"/>
        <w:bidi w:val="0"/>
        <w:spacing w:before="0" w:after="120"/>
        <w:ind w:left="0" w:right="0" w:hanging="0"/>
        <w:jc w:val="center"/>
        <w:rPr>
          <w:rFonts w:ascii="Arial;Helvetica;sans-serif" w:hAnsi="Arial;Helvetica;sans-serif"/>
          <w:b/>
          <w:sz w:val="18"/>
        </w:rPr>
      </w:pPr>
      <w:r>
        <w:rPr>
          <w:rFonts w:ascii="Arial;Helvetica;sans-serif" w:hAnsi="Arial;Helvetica;sans-serif"/>
          <w:b/>
          <w:sz w:val="18"/>
        </w:rPr>
        <w:t>Securities registered pursuant to Section 12(b) of the Act:</w:t>
      </w:r>
    </w:p>
    <w:p>
      <w:pPr>
        <w:pStyle w:val="Normal"/>
        <w:bidi w:val="0"/>
        <w:spacing w:before="0" w:after="0"/>
        <w:jc w:val="left"/>
        <w:rPr>
          <w:sz w:val="4"/>
          <w:szCs w:val="4"/>
        </w:rPr>
      </w:pPr>
      <w:r>
        <w:rPr>
          <w:sz w:val="4"/>
          <w:szCs w:val="4"/>
        </w:rPr>
      </w:r>
      <w:bookmarkStart w:id="19" w:name="Tc_vk0NYdTgikSA2dlHvh6Z1g_1_2"/>
      <w:bookmarkStart w:id="20" w:name="Tc_OTrSKNXrUkGScrE3YCuqCA_1_1"/>
      <w:bookmarkStart w:id="21" w:name="Tc_SALyc3M9oUKMr8m5RAocyg_1_0"/>
      <w:bookmarkStart w:id="22" w:name="_91b1f836_8e21_4bde_bf6d_deb938e5b112"/>
      <w:bookmarkStart w:id="23" w:name="Tc_vk0NYdTgikSA2dlHvh6Z1g_1_2"/>
      <w:bookmarkStart w:id="24" w:name="Tc_OTrSKNXrUkGScrE3YCuqCA_1_1"/>
      <w:bookmarkStart w:id="25" w:name="Tc_SALyc3M9oUKMr8m5RAocyg_1_0"/>
      <w:bookmarkStart w:id="26" w:name="_91b1f836_8e21_4bde_bf6d_deb938e5b112"/>
      <w:bookmarkEnd w:id="23"/>
      <w:bookmarkEnd w:id="24"/>
      <w:bookmarkEnd w:id="25"/>
      <w:bookmarkEnd w:id="26"/>
    </w:p>
    <w:tbl>
      <w:tblPr>
        <w:tblW w:w="9363" w:type="dxa"/>
        <w:jc w:val="left"/>
        <w:tblInd w:w="0" w:type="dxa"/>
        <w:tblLayout w:type="fixed"/>
        <w:tblCellMar>
          <w:top w:w="0" w:type="dxa"/>
          <w:left w:w="0" w:type="dxa"/>
          <w:bottom w:w="0" w:type="dxa"/>
          <w:right w:w="0" w:type="dxa"/>
        </w:tblCellMar>
      </w:tblPr>
      <w:tblGrid>
        <w:gridCol w:w="3751"/>
        <w:gridCol w:w="1666"/>
        <w:gridCol w:w="394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p>
        </w:tc>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946" w:type="dxa"/>
            <w:tcBorders/>
            <w:vAlign w:val="center"/>
          </w:tcPr>
          <w:p>
            <w:pPr>
              <w:pStyle w:val="TableContents"/>
              <w:bidi w:val="0"/>
              <w:spacing w:before="0" w:after="283"/>
              <w:ind w:left="0" w:right="0" w:hanging="0"/>
              <w:jc w:val="left"/>
              <w:rPr>
                <w:sz w:val="4"/>
                <w:szCs w:val="4"/>
              </w:rPr>
            </w:pPr>
            <w:r>
              <w:rPr>
                <w:sz w:val="4"/>
                <w:szCs w:val="4"/>
              </w:rPr>
            </w:r>
          </w:p>
        </w:tc>
      </w:tr>
      <w:tr>
        <w:trPr/>
        <w:tc>
          <w:tcPr>
            <w:tcW w:w="3751" w:type="dxa"/>
            <w:tcBorders/>
            <w:vAlign w:val="center"/>
          </w:tcPr>
          <w:p>
            <w:pPr>
              <w:pStyle w:val="TableContents"/>
              <w:bidi w:val="0"/>
              <w:spacing w:before="0" w:after="44"/>
              <w:ind w:left="0" w:right="0" w:hanging="0"/>
              <w:jc w:val="center"/>
              <w:rPr>
                <w:rFonts w:ascii="Arial;Helvetica;sans-serif" w:hAnsi="Arial;Helvetica;sans-serif"/>
                <w:b/>
                <w:sz w:val="18"/>
              </w:rPr>
            </w:pPr>
            <w:r>
              <w:rPr>
                <w:rFonts w:ascii="Arial;Helvetica;sans-serif" w:hAnsi="Arial;Helvetica;sans-serif"/>
                <w:b/>
                <w:sz w:val="18"/>
              </w:rPr>
              <w:t>Title of each class</w:t>
            </w:r>
          </w:p>
        </w:tc>
        <w:tc>
          <w:tcPr>
            <w:tcW w:w="1666" w:type="dxa"/>
            <w:tcBorders/>
            <w:vAlign w:val="center"/>
          </w:tcPr>
          <w:p>
            <w:pPr>
              <w:pStyle w:val="TableContents"/>
              <w:bidi w:val="0"/>
              <w:spacing w:before="0" w:after="44"/>
              <w:ind w:left="0" w:right="0" w:hanging="0"/>
              <w:jc w:val="center"/>
              <w:rPr>
                <w:rFonts w:ascii="Arial;Helvetica;sans-serif" w:hAnsi="Arial;Helvetica;sans-serif"/>
                <w:b/>
                <w:sz w:val="18"/>
              </w:rPr>
            </w:pPr>
            <w:r>
              <w:rPr>
                <w:rFonts w:ascii="Arial;Helvetica;sans-serif" w:hAnsi="Arial;Helvetica;sans-serif"/>
                <w:b/>
                <w:sz w:val="18"/>
              </w:rPr>
              <w:t>Trading Symbol(s)</w:t>
            </w:r>
          </w:p>
        </w:tc>
        <w:tc>
          <w:tcPr>
            <w:tcW w:w="3946" w:type="dxa"/>
            <w:tcBorders/>
            <w:vAlign w:val="center"/>
          </w:tcPr>
          <w:p>
            <w:pPr>
              <w:pStyle w:val="TableContents"/>
              <w:bidi w:val="0"/>
              <w:spacing w:before="0" w:after="44"/>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c>
      </w:tr>
      <w:tr>
        <w:trPr/>
        <w:tc>
          <w:tcPr>
            <w:tcW w:w="375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Common Stock, Par Value $0.001 Per Share</w:t>
            </w:r>
          </w:p>
        </w:tc>
        <w:tc>
          <w:tcPr>
            <w:tcW w:w="1666" w:type="dxa"/>
            <w:tcBorders/>
            <w:vAlign w:val="center"/>
          </w:tcPr>
          <w:p>
            <w:pPr>
              <w:pStyle w:val="TableContents"/>
              <w:bidi w:val="0"/>
              <w:spacing w:before="0" w:after="44"/>
              <w:ind w:left="0" w:right="0" w:hanging="0"/>
              <w:jc w:val="center"/>
              <w:rPr>
                <w:rFonts w:ascii="Arial;Helvetica;sans-serif" w:hAnsi="Arial;Helvetica;sans-serif"/>
                <w:sz w:val="18"/>
              </w:rPr>
            </w:pPr>
            <w:r>
              <w:rPr>
                <w:rFonts w:ascii="Arial;Helvetica;sans-serif" w:hAnsi="Arial;Helvetica;sans-serif"/>
                <w:sz w:val="18"/>
              </w:rPr>
              <w:t>TCMD</w:t>
            </w:r>
          </w:p>
        </w:tc>
        <w:tc>
          <w:tcPr>
            <w:tcW w:w="3946" w:type="dxa"/>
            <w:tcBorders/>
            <w:vAlign w:val="center"/>
          </w:tcPr>
          <w:p>
            <w:pPr>
              <w:pStyle w:val="TableContents"/>
              <w:bidi w:val="0"/>
              <w:spacing w:before="0" w:after="44"/>
              <w:ind w:left="0" w:right="0" w:hanging="0"/>
              <w:jc w:val="center"/>
              <w:rPr>
                <w:rFonts w:ascii="Arial;Helvetica;sans-serif" w:hAnsi="Arial;Helvetica;sans-serif"/>
                <w:sz w:val="18"/>
              </w:rPr>
            </w:pPr>
            <w:r>
              <w:rPr>
                <w:rFonts w:ascii="Arial;Helvetica;sans-serif" w:hAnsi="Arial;Helvetica;sans-serif"/>
                <w:sz w:val="18"/>
              </w:rPr>
              <w:t>The Nasdaq Stock Market</w:t>
            </w:r>
          </w:p>
        </w:tc>
      </w:tr>
    </w:tbl>
    <w:p>
      <w:pPr>
        <w:pStyle w:val="TextBody"/>
        <w:pBdr/>
        <w:shd w:fill="FFFFFF" w:val="clear"/>
        <w:bidi w:val="0"/>
        <w:spacing w:before="120" w:after="0"/>
        <w:ind w:left="0" w:right="0" w:firstLine="720"/>
        <w:jc w:val="both"/>
        <w:rPr>
          <w:rFonts w:ascii="Times New Roman;Times;serif" w:hAnsi="Times New Roman;Time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Arial;Helvetica;sans-serif" w:hAnsi="Arial;Helvetica;sans-serif"/>
          <w:sz w:val="18"/>
        </w:rPr>
        <w:t xml:space="preserve">No </w:t>
      </w:r>
      <w:r>
        <w:rPr>
          <w:rFonts w:ascii="Times New Roman;Times;serif" w:hAnsi="Times New Roman;Times;serif"/>
          <w:sz w:val="20"/>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Arial;Helvetica;sans-serif" w:hAnsi="Arial;Helvetica;sans-serif"/>
          <w:sz w:val="18"/>
        </w:rPr>
        <w:t xml:space="preserve">No </w:t>
      </w:r>
      <w:r>
        <w:rPr>
          <w:rFonts w:ascii="Times New Roman;Times;serif" w:hAnsi="Times New Roman;Times;serif"/>
          <w:sz w:val="20"/>
        </w:rPr>
        <w:t>☐</w:t>
      </w:r>
    </w:p>
    <w:p>
      <w:pPr>
        <w:pStyle w:val="TextBody"/>
        <w:shd w:fill="FFFFFF" w:val="clear"/>
        <w:bidi w:val="0"/>
        <w:spacing w:before="0" w:after="120"/>
        <w:ind w:left="0" w:right="0" w:firstLine="720"/>
        <w:jc w:val="both"/>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7" w:name="Tc_nNk6NL453kKiIpZ169133A_3_3"/>
      <w:bookmarkStart w:id="28" w:name="Tc_IQBmyxzJMEShKgwUnVg2Vg_3_0"/>
      <w:bookmarkStart w:id="29" w:name="Tc_aC3a5A8qwEClNTzueuh1ew_1_7"/>
      <w:bookmarkStart w:id="30" w:name="Tc_63vAL3vYLEa-q9PIypGM-Q_1_6"/>
      <w:bookmarkStart w:id="31" w:name="Tc_J8rmJs6paEeSDzi31-98Uw_1_4"/>
      <w:bookmarkStart w:id="32" w:name="Tc_k1bAIOsRXUeNmb8rjLNVHg_1_1"/>
      <w:bookmarkStart w:id="33" w:name="Tc_AfqhQ_pS9UKXVGPRjx2ZrA_1_0"/>
      <w:bookmarkStart w:id="34" w:name="_ae5d43ca_844f_49a8_946a_491209a48b09"/>
      <w:bookmarkStart w:id="35" w:name="Tc_nNk6NL453kKiIpZ169133A_3_3"/>
      <w:bookmarkStart w:id="36" w:name="Tc_IQBmyxzJMEShKgwUnVg2Vg_3_0"/>
      <w:bookmarkStart w:id="37" w:name="Tc_aC3a5A8qwEClNTzueuh1ew_1_7"/>
      <w:bookmarkStart w:id="38" w:name="Tc_63vAL3vYLEa-q9PIypGM-Q_1_6"/>
      <w:bookmarkStart w:id="39" w:name="Tc_J8rmJs6paEeSDzi31-98Uw_1_4"/>
      <w:bookmarkStart w:id="40" w:name="Tc_k1bAIOsRXUeNmb8rjLNVHg_1_1"/>
      <w:bookmarkStart w:id="41" w:name="Tc_AfqhQ_pS9UKXVGPRjx2ZrA_1_0"/>
      <w:bookmarkStart w:id="42" w:name="_ae5d43ca_844f_49a8_946a_491209a48b09"/>
      <w:bookmarkEnd w:id="35"/>
      <w:bookmarkEnd w:id="36"/>
      <w:bookmarkEnd w:id="37"/>
      <w:bookmarkEnd w:id="38"/>
      <w:bookmarkEnd w:id="39"/>
      <w:bookmarkEnd w:id="40"/>
      <w:bookmarkEnd w:id="41"/>
      <w:bookmarkEnd w:id="42"/>
    </w:p>
    <w:tbl>
      <w:tblPr>
        <w:tblW w:w="7739" w:type="dxa"/>
        <w:jc w:val="left"/>
        <w:tblInd w:w="0" w:type="dxa"/>
        <w:tblLayout w:type="fixed"/>
        <w:tblCellMar>
          <w:top w:w="0" w:type="dxa"/>
          <w:left w:w="0" w:type="dxa"/>
          <w:bottom w:w="0" w:type="dxa"/>
          <w:right w:w="0" w:type="dxa"/>
        </w:tblCellMar>
      </w:tblPr>
      <w:tblGrid>
        <w:gridCol w:w="2371"/>
        <w:gridCol w:w="316"/>
        <w:gridCol w:w="109"/>
        <w:gridCol w:w="2296"/>
        <w:gridCol w:w="316"/>
        <w:gridCol w:w="109"/>
        <w:gridCol w:w="1861"/>
        <w:gridCol w:w="361"/>
      </w:tblGrid>
      <w:tr>
        <w:trPr/>
        <w:tc>
          <w:tcPr>
            <w:tcW w:w="2371"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both"/>
              <w:rPr/>
            </w:pPr>
            <w:r>
              <w:rPr/>
              <w:t>​</w:t>
            </w:r>
          </w:p>
        </w:tc>
      </w:tr>
      <w:tr>
        <w:trPr/>
        <w:tc>
          <w:tcPr>
            <w:tcW w:w="2371" w:type="dxa"/>
            <w:tcBorders/>
            <w:vAlign w:val="center"/>
          </w:tcPr>
          <w:p>
            <w:pPr>
              <w:pStyle w:val="TableContents"/>
              <w:pBdr/>
              <w:shd w:fill="FFFFFF" w:val="clear"/>
              <w:bidi w:val="0"/>
              <w:spacing w:before="0" w:after="0"/>
              <w:ind w:left="0" w:right="0" w:hanging="0"/>
              <w:jc w:val="left"/>
              <w:rPr>
                <w:rFonts w:ascii="Arial;Helvetica;sans-serif" w:hAnsi="Arial;Helvetica;sans-serif"/>
                <w:sz w:val="18"/>
              </w:rPr>
            </w:pPr>
            <w:r>
              <w:rPr>
                <w:rFonts w:ascii="Arial;Helvetica;sans-serif" w:hAnsi="Arial;Helvetica;sans-serif"/>
                <w:sz w:val="18"/>
              </w:rPr>
              <w:t>Large accelerated filer</w:t>
            </w:r>
          </w:p>
        </w:tc>
        <w:tc>
          <w:tcPr>
            <w:tcW w:w="316" w:type="dxa"/>
            <w:tcBorders/>
            <w:vAlign w:val="center"/>
          </w:tcPr>
          <w:p>
            <w:pPr>
              <w:pStyle w:val="TableContents"/>
              <w:shd w:fill="FFFFFF" w:val="clear"/>
              <w:bidi w:val="0"/>
              <w:spacing w:before="0" w:after="0"/>
              <w:ind w:left="0" w:right="0" w:hanging="0"/>
              <w:jc w:val="left"/>
              <w:rPr/>
            </w:pPr>
            <w:r>
              <w:rPr/>
              <w:t>☐</w:t>
            </w:r>
          </w:p>
        </w:tc>
        <w:tc>
          <w:tcPr>
            <w:tcW w:w="109" w:type="dxa"/>
            <w:tcBorders/>
            <w:vAlign w:val="center"/>
          </w:tcPr>
          <w:p>
            <w:pPr>
              <w:pStyle w:val="TableContents"/>
              <w:shd w:fill="FFFFFF" w:val="clear"/>
              <w:bidi w:val="0"/>
              <w:spacing w:before="0" w:after="0"/>
              <w:ind w:left="0" w:right="0" w:hanging="0"/>
              <w:jc w:val="both"/>
              <w:rPr/>
            </w:pPr>
            <w:r>
              <w:rPr/>
              <w:t>​</w:t>
            </w:r>
          </w:p>
        </w:tc>
        <w:tc>
          <w:tcPr>
            <w:tcW w:w="2296" w:type="dxa"/>
            <w:tcBorders/>
            <w:vAlign w:val="center"/>
          </w:tcPr>
          <w:p>
            <w:pPr>
              <w:pStyle w:val="TableContents"/>
              <w:shd w:fill="FFFFFF" w:val="clear"/>
              <w:bidi w:val="0"/>
              <w:spacing w:before="0" w:after="0"/>
              <w:ind w:left="0" w:right="0" w:hanging="0"/>
              <w:jc w:val="left"/>
              <w:rPr>
                <w:rFonts w:ascii="Arial;Helvetica;sans-serif" w:hAnsi="Arial;Helvetica;sans-serif"/>
                <w:sz w:val="18"/>
              </w:rPr>
            </w:pPr>
            <w:r>
              <w:rPr>
                <w:rFonts w:ascii="Arial;Helvetica;sans-serif" w:hAnsi="Arial;Helvetica;sans-serif"/>
                <w:sz w:val="18"/>
              </w:rPr>
              <w:t>Accelerated filer</w:t>
            </w:r>
          </w:p>
        </w:tc>
        <w:tc>
          <w:tcPr>
            <w:tcW w:w="316" w:type="dxa"/>
            <w:tcBorders/>
            <w:vAlign w:val="center"/>
          </w:tcPr>
          <w:p>
            <w:pPr>
              <w:pStyle w:val="TableContents"/>
              <w:shd w:fill="FFFFFF" w:val="clear"/>
              <w:bidi w:val="0"/>
              <w:spacing w:before="0" w:after="0"/>
              <w:ind w:left="0" w:right="0" w:hanging="0"/>
              <w:jc w:val="left"/>
              <w:rPr/>
            </w:pPr>
            <w:r>
              <w:rPr/>
              <w:t>☑</w:t>
            </w:r>
          </w:p>
        </w:tc>
        <w:tc>
          <w:tcPr>
            <w:tcW w:w="109" w:type="dxa"/>
            <w:tcBorders/>
            <w:vAlign w:val="center"/>
          </w:tcPr>
          <w:p>
            <w:pPr>
              <w:pStyle w:val="TableContents"/>
              <w:shd w:fill="FFFFFF" w:val="clear"/>
              <w:bidi w:val="0"/>
              <w:spacing w:before="0" w:after="0"/>
              <w:ind w:left="0" w:right="0" w:hanging="0"/>
              <w:jc w:val="left"/>
              <w:rPr/>
            </w:pPr>
            <w:r>
              <w:rPr/>
              <w:t>​</w:t>
            </w:r>
          </w:p>
        </w:tc>
        <w:tc>
          <w:tcPr>
            <w:tcW w:w="1861" w:type="dxa"/>
            <w:tcBorders/>
            <w:vAlign w:val="center"/>
          </w:tcPr>
          <w:p>
            <w:pPr>
              <w:pStyle w:val="TableContents"/>
              <w:shd w:fill="FFFFFF" w:val="clear"/>
              <w:bidi w:val="0"/>
              <w:spacing w:before="0" w:after="0"/>
              <w:ind w:left="0" w:right="0" w:hanging="0"/>
              <w:jc w:val="left"/>
              <w:rPr>
                <w:rFonts w:ascii="Arial;Helvetica;sans-serif" w:hAnsi="Arial;Helvetica;sans-serif"/>
                <w:sz w:val="18"/>
              </w:rPr>
            </w:pPr>
            <w:r>
              <w:rPr>
                <w:rFonts w:ascii="Arial;Helvetica;sans-serif" w:hAnsi="Arial;Helvetica;sans-serif"/>
                <w:sz w:val="18"/>
              </w:rPr>
              <w:t>Non-accelerated filer </w:t>
            </w:r>
          </w:p>
        </w:tc>
        <w:tc>
          <w:tcPr>
            <w:tcW w:w="361" w:type="dxa"/>
            <w:tcBorders/>
            <w:vAlign w:val="center"/>
          </w:tcPr>
          <w:p>
            <w:pPr>
              <w:pStyle w:val="TableContents"/>
              <w:shd w:fill="FFFFFF" w:val="clear"/>
              <w:bidi w:val="0"/>
              <w:spacing w:before="0" w:after="0"/>
              <w:ind w:left="0" w:right="0" w:hanging="0"/>
              <w:jc w:val="left"/>
              <w:rPr/>
            </w:pPr>
            <w:r>
              <w:rPr/>
              <w:t>☐</w:t>
            </w:r>
          </w:p>
        </w:tc>
      </w:tr>
      <w:tr>
        <w:trPr/>
        <w:tc>
          <w:tcPr>
            <w:tcW w:w="2371" w:type="dxa"/>
            <w:tcBorders/>
            <w:vAlign w:val="center"/>
          </w:tcPr>
          <w:p>
            <w:pPr>
              <w:pStyle w:val="TableContents"/>
              <w:pBdr/>
              <w:shd w:fill="FFFFFF" w:val="clear"/>
              <w:bidi w:val="0"/>
              <w:spacing w:before="0" w:after="0"/>
              <w:ind w:left="0" w:right="0" w:hanging="0"/>
              <w:jc w:val="left"/>
              <w:rPr/>
            </w:pPr>
            <w:r>
              <w:rPr/>
              <w:t>​</w:t>
            </w:r>
          </w:p>
        </w:tc>
        <w:tc>
          <w:tcPr>
            <w:tcW w:w="316" w:type="dxa"/>
            <w:tcBorders/>
            <w:vAlign w:val="center"/>
          </w:tcPr>
          <w:p>
            <w:pPr>
              <w:pStyle w:val="TableContents"/>
              <w:shd w:fill="FFFFFF" w:val="clear"/>
              <w:bidi w:val="0"/>
              <w:spacing w:before="0" w:after="0"/>
              <w:ind w:left="0" w:right="0" w:hanging="0"/>
              <w:jc w:val="left"/>
              <w:rPr/>
            </w:pPr>
            <w:r>
              <w:rPr/>
              <w:t>​</w:t>
            </w:r>
          </w:p>
        </w:tc>
        <w:tc>
          <w:tcPr>
            <w:tcW w:w="109" w:type="dxa"/>
            <w:tcBorders/>
            <w:vAlign w:val="center"/>
          </w:tcPr>
          <w:p>
            <w:pPr>
              <w:pStyle w:val="TableContents"/>
              <w:shd w:fill="FFFFFF" w:val="clear"/>
              <w:bidi w:val="0"/>
              <w:spacing w:before="0" w:after="0"/>
              <w:ind w:left="0" w:right="0" w:hanging="0"/>
              <w:jc w:val="both"/>
              <w:rPr/>
            </w:pPr>
            <w:r>
              <w:rPr/>
              <w:t>​</w:t>
            </w:r>
          </w:p>
        </w:tc>
        <w:tc>
          <w:tcPr>
            <w:tcW w:w="2296" w:type="dxa"/>
            <w:tcBorders/>
            <w:vAlign w:val="center"/>
          </w:tcPr>
          <w:p>
            <w:pPr>
              <w:pStyle w:val="TableContents"/>
              <w:shd w:fill="FFFFFF" w:val="clear"/>
              <w:bidi w:val="0"/>
              <w:spacing w:before="0" w:after="0"/>
              <w:ind w:left="0" w:right="0" w:hanging="0"/>
              <w:jc w:val="left"/>
              <w:rPr/>
            </w:pPr>
            <w:r>
              <w:rPr/>
              <w:t>​</w:t>
            </w:r>
          </w:p>
        </w:tc>
        <w:tc>
          <w:tcPr>
            <w:tcW w:w="316" w:type="dxa"/>
            <w:tcBorders/>
            <w:vAlign w:val="center"/>
          </w:tcPr>
          <w:p>
            <w:pPr>
              <w:pStyle w:val="TableContents"/>
              <w:shd w:fill="FFFFFF" w:val="clear"/>
              <w:bidi w:val="0"/>
              <w:spacing w:before="0" w:after="0"/>
              <w:ind w:left="0" w:right="0" w:hanging="0"/>
              <w:jc w:val="left"/>
              <w:rPr/>
            </w:pPr>
            <w:r>
              <w:rPr/>
              <w:t>​</w:t>
            </w:r>
          </w:p>
        </w:tc>
        <w:tc>
          <w:tcPr>
            <w:tcW w:w="109" w:type="dxa"/>
            <w:tcBorders/>
            <w:vAlign w:val="center"/>
          </w:tcPr>
          <w:p>
            <w:pPr>
              <w:pStyle w:val="TableContents"/>
              <w:shd w:fill="FFFFFF" w:val="clear"/>
              <w:bidi w:val="0"/>
              <w:spacing w:before="0" w:after="0"/>
              <w:ind w:left="0" w:right="0" w:hanging="0"/>
              <w:jc w:val="left"/>
              <w:rPr/>
            </w:pPr>
            <w:r>
              <w:rPr/>
              <w:t>​</w:t>
            </w:r>
          </w:p>
        </w:tc>
        <w:tc>
          <w:tcPr>
            <w:tcW w:w="1861"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shd w:fill="FFFFFF" w:val="clear"/>
              <w:bidi w:val="0"/>
              <w:spacing w:before="0" w:after="0"/>
              <w:ind w:left="0" w:right="0" w:hanging="0"/>
              <w:jc w:val="left"/>
              <w:rPr/>
            </w:pPr>
            <w:r>
              <w:rPr/>
              <w:t>​</w:t>
            </w:r>
          </w:p>
        </w:tc>
      </w:tr>
      <w:tr>
        <w:trPr/>
        <w:tc>
          <w:tcPr>
            <w:tcW w:w="2371" w:type="dxa"/>
            <w:tcBorders/>
            <w:vAlign w:val="center"/>
          </w:tcPr>
          <w:p>
            <w:pPr>
              <w:pStyle w:val="TableContents"/>
              <w:pBdr/>
              <w:shd w:fill="FFFFFF" w:val="clear"/>
              <w:bidi w:val="0"/>
              <w:spacing w:before="0" w:after="0"/>
              <w:ind w:left="0" w:right="0" w:hanging="0"/>
              <w:jc w:val="left"/>
              <w:rPr>
                <w:rFonts w:ascii="Arial;Helvetica;sans-serif" w:hAnsi="Arial;Helvetica;sans-serif"/>
                <w:sz w:val="18"/>
              </w:rPr>
            </w:pPr>
            <w:r>
              <w:rPr>
                <w:rFonts w:ascii="Arial;Helvetica;sans-serif" w:hAnsi="Arial;Helvetica;sans-serif"/>
                <w:sz w:val="18"/>
              </w:rPr>
              <w:t>Smaller reporting company </w:t>
            </w:r>
          </w:p>
        </w:tc>
        <w:tc>
          <w:tcPr>
            <w:tcW w:w="316" w:type="dxa"/>
            <w:tcBorders/>
            <w:vAlign w:val="center"/>
          </w:tcPr>
          <w:p>
            <w:pPr>
              <w:pStyle w:val="TableContents"/>
              <w:shd w:fill="FFFFFF" w:val="clear"/>
              <w:bidi w:val="0"/>
              <w:spacing w:before="0" w:after="0"/>
              <w:ind w:left="0" w:right="0" w:hanging="0"/>
              <w:jc w:val="left"/>
              <w:rPr/>
            </w:pPr>
            <w:r>
              <w:rPr/>
              <w:t>☐</w:t>
            </w:r>
          </w:p>
        </w:tc>
        <w:tc>
          <w:tcPr>
            <w:tcW w:w="109" w:type="dxa"/>
            <w:tcBorders/>
            <w:vAlign w:val="center"/>
          </w:tcPr>
          <w:p>
            <w:pPr>
              <w:pStyle w:val="TableContents"/>
              <w:shd w:fill="FFFFFF" w:val="clear"/>
              <w:bidi w:val="0"/>
              <w:spacing w:before="0" w:after="0"/>
              <w:ind w:left="0" w:right="0" w:hanging="0"/>
              <w:jc w:val="both"/>
              <w:rPr/>
            </w:pPr>
            <w:r>
              <w:rPr/>
              <w:t>​</w:t>
            </w:r>
          </w:p>
        </w:tc>
        <w:tc>
          <w:tcPr>
            <w:tcW w:w="2296" w:type="dxa"/>
            <w:tcBorders/>
            <w:vAlign w:val="center"/>
          </w:tcPr>
          <w:p>
            <w:pPr>
              <w:pStyle w:val="TableContents"/>
              <w:shd w:fill="FFFFFF" w:val="clear"/>
              <w:bidi w:val="0"/>
              <w:spacing w:before="0" w:after="0"/>
              <w:ind w:left="0" w:right="0" w:hanging="0"/>
              <w:jc w:val="left"/>
              <w:rPr>
                <w:rFonts w:ascii="Arial;Helvetica;sans-serif" w:hAnsi="Arial;Helvetica;sans-serif"/>
                <w:sz w:val="18"/>
              </w:rPr>
            </w:pPr>
            <w:r>
              <w:rPr>
                <w:rFonts w:ascii="Arial;Helvetica;sans-serif" w:hAnsi="Arial;Helvetica;sans-serif"/>
                <w:sz w:val="18"/>
              </w:rPr>
              <w:t>Emerging growth company</w:t>
            </w:r>
          </w:p>
        </w:tc>
        <w:tc>
          <w:tcPr>
            <w:tcW w:w="316" w:type="dxa"/>
            <w:tcBorders/>
            <w:vAlign w:val="center"/>
          </w:tcPr>
          <w:p>
            <w:pPr>
              <w:pStyle w:val="TableContents"/>
              <w:shd w:fill="FFFFFF" w:val="clear"/>
              <w:bidi w:val="0"/>
              <w:spacing w:before="0" w:after="0"/>
              <w:ind w:left="0" w:right="0" w:hanging="0"/>
              <w:jc w:val="left"/>
              <w:rPr/>
            </w:pPr>
            <w:r>
              <w:rPr/>
              <w:t>☐</w:t>
            </w:r>
          </w:p>
        </w:tc>
        <w:tc>
          <w:tcPr>
            <w:tcW w:w="109" w:type="dxa"/>
            <w:tcBorders/>
            <w:vAlign w:val="center"/>
          </w:tcPr>
          <w:p>
            <w:pPr>
              <w:pStyle w:val="TableContents"/>
              <w:shd w:fill="FFFFFF" w:val="clear"/>
              <w:bidi w:val="0"/>
              <w:spacing w:before="0" w:after="0"/>
              <w:ind w:left="0" w:right="0" w:hanging="0"/>
              <w:jc w:val="left"/>
              <w:rPr/>
            </w:pPr>
            <w:r>
              <w:rPr/>
              <w:t>​</w:t>
            </w:r>
          </w:p>
        </w:tc>
        <w:tc>
          <w:tcPr>
            <w:tcW w:w="1861"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shd w:fill="FFFFFF" w:val="clear"/>
              <w:bidi w:val="0"/>
              <w:spacing w:before="0" w:after="0"/>
              <w:ind w:left="0" w:right="0" w:hanging="0"/>
              <w:jc w:val="left"/>
              <w:rPr/>
            </w:pPr>
            <w:r>
              <w:rPr/>
              <w:t>​</w:t>
            </w:r>
          </w:p>
        </w:tc>
      </w:tr>
    </w:tbl>
    <w:p>
      <w:pPr>
        <w:pStyle w:val="TextBody"/>
        <w:pBdr/>
        <w:shd w:fill="FFFFFF" w:val="clear"/>
        <w:bidi w:val="0"/>
        <w:spacing w:before="120" w:after="0"/>
        <w:ind w:left="0" w:right="0" w:firstLine="720"/>
        <w:jc w:val="both"/>
        <w:rPr>
          <w:rFonts w:ascii="Times New Roman;Times;serif" w:hAnsi="Times New Roman;Times;serif"/>
          <w:sz w:val="18"/>
        </w:rPr>
      </w:pPr>
      <w:r>
        <w:rPr>
          <w:rFonts w:ascii="Arial;Helvetica;sans-serif" w:hAnsi="Arial;Helvetica;san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18"/>
        </w:rPr>
        <w:t xml:space="preserve">Indicate by check mark whether the registrant is a shell company (as defined in Rule 12b-2 of the Exchange Act).  Yes </w:t>
      </w:r>
      <w:r>
        <w:rPr>
          <w:rFonts w:ascii="Times New Roman;Times;serif" w:hAnsi="Times New Roman;Times;serif"/>
          <w:sz w:val="20"/>
        </w:rPr>
        <w:t>☐  </w:t>
      </w:r>
      <w:r>
        <w:rPr>
          <w:rFonts w:ascii="Arial;Helvetica;sans-serif" w:hAnsi="Arial;Helvetica;sans-serif"/>
          <w:sz w:val="18"/>
        </w:rPr>
        <w:t xml:space="preserve">No </w:t>
      </w:r>
      <w:r>
        <w:rPr>
          <w:rFonts w:ascii="Times New Roman;Times;serif" w:hAnsi="Times New Roman;Times;serif"/>
          <w:sz w:val="20"/>
        </w:rPr>
        <w:t>☑</w:t>
      </w:r>
    </w:p>
    <w:p>
      <w:pPr>
        <w:pStyle w:val="TextBody"/>
        <w:shd w:fill="FFFFFF" w:val="clear"/>
        <w:bidi w:val="0"/>
        <w:spacing w:before="0" w:after="120"/>
        <w:ind w:left="0" w:right="0" w:firstLine="720"/>
        <w:jc w:val="both"/>
        <w:rPr>
          <w:rFonts w:ascii="Times New Roman;Times;serif" w:hAnsi="Times New Roman;Times;serif"/>
          <w:sz w:val="18"/>
        </w:rPr>
      </w:pPr>
      <w:r>
        <w:rPr>
          <w:rFonts w:ascii="Arial;Helvetica;sans-serif" w:hAnsi="Arial;Helvetica;sans-serif"/>
          <w:sz w:val="18"/>
        </w:rPr>
        <w:t>22,652,286</w:t>
      </w:r>
      <w:r>
        <w:rPr>
          <w:rFonts w:ascii="Times New Roman;Times;serif" w:hAnsi="Times New Roman;Times;serif"/>
          <w:sz w:val="18"/>
        </w:rPr>
        <w:t xml:space="preserve"> </w:t>
      </w:r>
      <w:r>
        <w:rPr>
          <w:rFonts w:ascii="Arial;Helvetica;sans-serif" w:hAnsi="Arial;Helvetica;sans-serif"/>
          <w:sz w:val="18"/>
        </w:rPr>
        <w:t>shares of common stock, par value $0.001 per share, were outstanding as of August 6, 2026.</w:t>
      </w:r>
    </w:p>
    <w:p>
      <w:pPr>
        <w:pStyle w:val="TextBody"/>
        <w:bidi w:val="0"/>
        <w:spacing w:before="0" w:after="0"/>
        <w:ind w:left="0" w:right="0" w:hanging="0"/>
        <w:jc w:val="left"/>
        <w:rPr/>
      </w:pPr>
      <w:r>
        <w:rPr/>
        <w:t>​</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hd w:fill="FFFFFF" w:val="clear"/>
        <w:bidi w:val="0"/>
        <w:spacing w:before="0" w:after="240"/>
        <w:ind w:left="0" w:right="0" w:hanging="0"/>
        <w:jc w:val="center"/>
        <w:rPr>
          <w:rFonts w:ascii="Arial;Helvetica;sans-serif" w:hAnsi="Arial;Helvetica;sans-serif"/>
          <w:b/>
          <w:sz w:val="20"/>
        </w:rPr>
      </w:pPr>
      <w:bookmarkStart w:id="43" w:name="TOC"/>
      <w:bookmarkStart w:id="44" w:name="_a0784266_5580_4e14_b746_4e4800fd839c"/>
      <w:bookmarkEnd w:id="43"/>
      <w:bookmarkEnd w:id="44"/>
      <w:r>
        <w:rPr>
          <w:rFonts w:ascii="Arial;Helvetica;sans-serif" w:hAnsi="Arial;Helvetica;sans-serif"/>
          <w:b/>
          <w:sz w:val="20"/>
        </w:rPr>
        <w:t>TABLE OF CONTENTS</w:t>
      </w:r>
    </w:p>
    <w:tbl>
      <w:tblPr>
        <w:tblW w:w="9296" w:type="dxa"/>
        <w:jc w:val="left"/>
        <w:tblInd w:w="0" w:type="dxa"/>
        <w:tblLayout w:type="fixed"/>
        <w:tblCellMar>
          <w:top w:w="0" w:type="dxa"/>
          <w:left w:w="0" w:type="dxa"/>
          <w:bottom w:w="0" w:type="dxa"/>
          <w:right w:w="0" w:type="dxa"/>
        </w:tblCellMar>
      </w:tblPr>
      <w:tblGrid>
        <w:gridCol w:w="871"/>
        <w:gridCol w:w="109"/>
        <w:gridCol w:w="7846"/>
        <w:gridCol w:w="109"/>
        <w:gridCol w:w="361"/>
      </w:tblGrid>
      <w:tr>
        <w:trPr/>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53085" cy="29210"/>
                      <wp:effectExtent l="0" t="0" r="0" b="0"/>
                      <wp:wrapNone/>
                      <wp:docPr id="1" name="Frame1"/>
                      <a:graphic xmlns:a="http://schemas.openxmlformats.org/drawingml/2006/main">
                        <a:graphicData uri="http://schemas.microsoft.com/office/word/2010/wordprocessingShape">
                          <wps:wsp>
                            <wps:cNvSpPr txBox="1"/>
                            <wps:spPr>
                              <a:xfrm>
                                <a:off x="0" y="0"/>
                                <a:ext cx="55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8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center"/>
              <w:rPr/>
            </w:pPr>
            <w:hyperlink w:anchor="PARTIFINANCIALINFORMATION_933021">
              <w:r>
                <w:rPr>
                  <w:rStyle w:val="InternetLink"/>
                  <w:rFonts w:ascii="Arial;Helvetica;sans-serif" w:hAnsi="Arial;Helvetica;sans-serif"/>
                  <w:b/>
                  <w:i w:val="false"/>
                  <w:caps w:val="false"/>
                  <w:smallCaps w:val="false"/>
                  <w:sz w:val="20"/>
                </w:rPr>
                <w:t>PART I—FINANCIAL INFORMATION</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871" w:type="dxa"/>
            <w:tcBorders/>
            <w:vAlign w:val="center"/>
          </w:tcPr>
          <w:p>
            <w:pPr>
              <w:pStyle w:val="TableContents"/>
              <w:shd w:fill="FFFFFF" w:val="clear"/>
              <w:bidi w:val="0"/>
              <w:spacing w:before="0" w:after="0"/>
              <w:ind w:left="0" w:right="0" w:hanging="0"/>
              <w:jc w:val="left"/>
              <w:rPr/>
            </w:pPr>
            <w:r>
              <w:rPr/>
              <w:t>​</w:t>
            </w:r>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r>
              <w:rPr/>
              <w:t>​</w:t>
            </w:r>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pBdr/>
              <w:shd w:fill="FFFFFF" w:val="clear"/>
              <w:bidi w:val="0"/>
              <w:spacing w:before="0" w:after="0"/>
              <w:ind w:left="0" w:right="0" w:hanging="0"/>
              <w:jc w:val="left"/>
              <w:rPr/>
            </w:pPr>
            <w:hyperlink w:anchor="Item1FinancialStatements">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1FinancialStatements">
              <w:r>
                <w:rPr>
                  <w:rStyle w:val="InternetLink"/>
                  <w:rFonts w:ascii="Arial;Helvetica;sans-serif" w:hAnsi="Arial;Helvetica;sans-serif"/>
                  <w:b w:val="false"/>
                  <w:i w:val="false"/>
                  <w:caps w:val="false"/>
                  <w:smallCaps w:val="false"/>
                  <w:sz w:val="20"/>
                </w:rPr>
                <w:t>Financial Statements</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71" w:type="dxa"/>
            <w:tcBorders/>
            <w:vAlign w:val="center"/>
          </w:tcPr>
          <w:p>
            <w:pPr>
              <w:pStyle w:val="TableContents"/>
              <w:pBdr/>
              <w:shd w:fill="FFFFFF" w:val="clear"/>
              <w:bidi w:val="0"/>
              <w:spacing w:before="0" w:after="0"/>
              <w:ind w:left="0" w:right="0" w:hanging="0"/>
              <w:jc w:val="left"/>
              <w:rPr/>
            </w:pPr>
            <w:hyperlink w:anchor="Item2ManagementsDiscussionandAnalysis_13">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2ManagementsDiscussionandAnalysis_13">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r>
      <w:tr>
        <w:trPr/>
        <w:tc>
          <w:tcPr>
            <w:tcW w:w="871" w:type="dxa"/>
            <w:tcBorders/>
            <w:vAlign w:val="center"/>
          </w:tcPr>
          <w:p>
            <w:pPr>
              <w:pStyle w:val="TableContents"/>
              <w:pBdr/>
              <w:shd w:fill="FFFFFF" w:val="clear"/>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71" w:type="dxa"/>
            <w:tcBorders/>
            <w:vAlign w:val="center"/>
          </w:tcPr>
          <w:p>
            <w:pPr>
              <w:pStyle w:val="TableContents"/>
              <w:pBdr/>
              <w:shd w:fill="FFFFFF" w:val="clear"/>
              <w:bidi w:val="0"/>
              <w:spacing w:before="0" w:after="0"/>
              <w:ind w:left="0" w:right="0" w:hanging="0"/>
              <w:jc w:val="left"/>
              <w:rPr/>
            </w:pPr>
            <w:hyperlink w:anchor="Item4ControlsandProcedures_119285">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4ControlsandProcedures_119285">
              <w:r>
                <w:rPr>
                  <w:rStyle w:val="InternetLink"/>
                  <w:rFonts w:ascii="Arial;Helvetica;sans-serif" w:hAnsi="Arial;Helvetica;sans-serif"/>
                  <w:b w:val="false"/>
                  <w:i w:val="false"/>
                  <w:caps w:val="false"/>
                  <w:smallCaps w:val="false"/>
                  <w:sz w:val="20"/>
                </w:rPr>
                <w:t>Controls and Procedures</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71" w:type="dxa"/>
            <w:tcBorders/>
            <w:vAlign w:val="center"/>
          </w:tcPr>
          <w:p>
            <w:pPr>
              <w:pStyle w:val="TableContents"/>
              <w:pBdr/>
              <w:shd w:fill="FFFFFF" w:val="clear"/>
              <w:bidi w:val="0"/>
              <w:spacing w:before="0" w:after="0"/>
              <w:ind w:left="0" w:right="0" w:hanging="0"/>
              <w:jc w:val="left"/>
              <w:rPr/>
            </w:pPr>
            <w:r>
              <w:rPr/>
              <w:t> </w:t>
            </w:r>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center"/>
              <w:rPr/>
            </w:pPr>
            <w:hyperlink w:anchor="PARTIIOTHERINFORMATION_513372">
              <w:r>
                <w:rPr>
                  <w:rStyle w:val="InternetLink"/>
                  <w:rFonts w:ascii="Arial;Helvetica;sans-serif" w:hAnsi="Arial;Helvetica;sans-serif"/>
                  <w:b/>
                  <w:i w:val="false"/>
                  <w:caps w:val="false"/>
                  <w:smallCaps w:val="false"/>
                  <w:sz w:val="20"/>
                </w:rPr>
                <w:t>PART II—OTHER INFORMATION</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pBdr/>
              <w:shd w:fill="FFFFFF" w:val="clear"/>
              <w:bidi w:val="0"/>
              <w:spacing w:before="0" w:after="0"/>
              <w:ind w:left="0" w:right="0" w:hanging="0"/>
              <w:jc w:val="left"/>
              <w:rPr/>
            </w:pPr>
            <w:r>
              <w:rPr/>
              <w:t> </w:t>
            </w:r>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71" w:type="dxa"/>
            <w:tcBorders/>
            <w:vAlign w:val="center"/>
          </w:tcPr>
          <w:p>
            <w:pPr>
              <w:pStyle w:val="TableContents"/>
              <w:pBdr/>
              <w:shd w:fill="FFFFFF" w:val="clear"/>
              <w:bidi w:val="0"/>
              <w:spacing w:before="0" w:after="0"/>
              <w:ind w:left="0" w:right="0" w:hanging="0"/>
              <w:jc w:val="left"/>
              <w:rPr/>
            </w:pPr>
            <w:hyperlink w:anchor="Item1LegalProceedings_81141">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1LegalProceedings_81141">
              <w:r>
                <w:rPr>
                  <w:rStyle w:val="InternetLink"/>
                  <w:rFonts w:ascii="Arial;Helvetica;sans-serif" w:hAnsi="Arial;Helvetica;sans-serif"/>
                  <w:b w:val="false"/>
                  <w:i w:val="false"/>
                  <w:caps w:val="false"/>
                  <w:smallCaps w:val="false"/>
                  <w:sz w:val="20"/>
                </w:rPr>
                <w:t>Legal Proceedings</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71" w:type="dxa"/>
            <w:tcBorders/>
            <w:vAlign w:val="center"/>
          </w:tcPr>
          <w:p>
            <w:pPr>
              <w:pStyle w:val="TableContents"/>
              <w:pBdr/>
              <w:shd w:fill="FFFFFF" w:val="clear"/>
              <w:bidi w:val="0"/>
              <w:spacing w:before="0" w:after="0"/>
              <w:ind w:left="0" w:right="0" w:hanging="0"/>
              <w:jc w:val="left"/>
              <w:rPr/>
            </w:pPr>
            <w:hyperlink w:anchor="Item1ARiskFactors_664913">
              <w:r>
                <w:rPr>
                  <w:rStyle w:val="InternetLink"/>
                  <w:rFonts w:ascii="Arial;Helvetica;sans-serif" w:hAnsi="Arial;Helvetica;sans-serif"/>
                  <w:b w:val="false"/>
                  <w:i w:val="false"/>
                  <w:caps w:val="false"/>
                  <w:smallCaps w:val="false"/>
                  <w:sz w:val="20"/>
                </w:rPr>
                <w:t>Item 1A.</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1ARiskFactors_664913">
              <w:r>
                <w:rPr>
                  <w:rStyle w:val="InternetLink"/>
                  <w:rFonts w:ascii="Arial;Helvetica;sans-serif" w:hAnsi="Arial;Helvetica;sans-serif"/>
                  <w:b w:val="false"/>
                  <w:i w:val="false"/>
                  <w:caps w:val="false"/>
                  <w:smallCaps w:val="false"/>
                  <w:sz w:val="20"/>
                </w:rPr>
                <w:t>Risk Factors</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71" w:type="dxa"/>
            <w:tcBorders/>
            <w:vAlign w:val="center"/>
          </w:tcPr>
          <w:p>
            <w:pPr>
              <w:pStyle w:val="TableContents"/>
              <w:pBdr/>
              <w:shd w:fill="FFFFFF" w:val="clear"/>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71" w:type="dxa"/>
            <w:tcBorders/>
            <w:vAlign w:val="center"/>
          </w:tcPr>
          <w:p>
            <w:pPr>
              <w:pStyle w:val="TableContents"/>
              <w:pBdr/>
              <w:shd w:fill="FFFFFF" w:val="clear"/>
              <w:bidi w:val="0"/>
              <w:spacing w:before="0" w:after="0"/>
              <w:ind w:left="0" w:right="0" w:hanging="0"/>
              <w:jc w:val="left"/>
              <w:rPr/>
            </w:pPr>
            <w:hyperlink w:anchor="Item3DefaultsUponSeniorSecurities_780159">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3DefaultsUponSeniorSecurities_780159">
              <w:r>
                <w:rPr>
                  <w:rStyle w:val="InternetLink"/>
                  <w:rFonts w:ascii="Arial;Helvetica;sans-serif" w:hAnsi="Arial;Helvetica;sans-serif"/>
                  <w:b w:val="false"/>
                  <w:i w:val="false"/>
                  <w:caps w:val="false"/>
                  <w:smallCaps w:val="false"/>
                  <w:sz w:val="20"/>
                </w:rPr>
                <w:t>Defaults Upon Senior Securities</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71" w:type="dxa"/>
            <w:tcBorders/>
            <w:vAlign w:val="center"/>
          </w:tcPr>
          <w:p>
            <w:pPr>
              <w:pStyle w:val="TableContents"/>
              <w:pBdr/>
              <w:shd w:fill="FFFFFF" w:val="clear"/>
              <w:bidi w:val="0"/>
              <w:spacing w:before="0" w:after="0"/>
              <w:ind w:left="0" w:right="0" w:hanging="0"/>
              <w:jc w:val="left"/>
              <w:rPr/>
            </w:pPr>
            <w:hyperlink w:anchor="Item4MineSafetyDisclosures_923755">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4MineSafetyDisclosures_923755">
              <w:r>
                <w:rPr>
                  <w:rStyle w:val="InternetLink"/>
                  <w:rFonts w:ascii="Arial;Helvetica;sans-serif" w:hAnsi="Arial;Helvetica;sans-serif"/>
                  <w:b w:val="false"/>
                  <w:i w:val="false"/>
                  <w:caps w:val="false"/>
                  <w:smallCaps w:val="false"/>
                  <w:sz w:val="20"/>
                </w:rPr>
                <w:t>Mine Safety Disclosures</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71" w:type="dxa"/>
            <w:tcBorders/>
            <w:vAlign w:val="center"/>
          </w:tcPr>
          <w:p>
            <w:pPr>
              <w:pStyle w:val="TableContents"/>
              <w:pBdr/>
              <w:shd w:fill="FFFFFF" w:val="clear"/>
              <w:bidi w:val="0"/>
              <w:spacing w:before="0" w:after="0"/>
              <w:ind w:left="0" w:right="0" w:hanging="0"/>
              <w:jc w:val="left"/>
              <w:rPr/>
            </w:pPr>
            <w:hyperlink w:anchor="Item5OtherInformation_507706">
              <w:r>
                <w:rPr>
                  <w:rStyle w:val="InternetLink"/>
                  <w:rFonts w:ascii="Arial;Helvetica;sans-serif" w:hAnsi="Arial;Helvetica;sans-serif"/>
                  <w:b w:val="false"/>
                  <w:i w:val="false"/>
                  <w:caps w:val="false"/>
                  <w:smallCaps w:val="false"/>
                  <w:sz w:val="20"/>
                </w:rPr>
                <w:t>Item 5.</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5OtherInformation_507706">
              <w:r>
                <w:rPr>
                  <w:rStyle w:val="InternetLink"/>
                  <w:rFonts w:ascii="Arial;Helvetica;sans-serif" w:hAnsi="Arial;Helvetica;sans-serif"/>
                  <w:b w:val="false"/>
                  <w:i w:val="false"/>
                  <w:caps w:val="false"/>
                  <w:smallCaps w:val="false"/>
                  <w:sz w:val="20"/>
                </w:rPr>
                <w:t>Other Information</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71" w:type="dxa"/>
            <w:tcBorders/>
            <w:vAlign w:val="center"/>
          </w:tcPr>
          <w:p>
            <w:pPr>
              <w:pStyle w:val="TableContents"/>
              <w:pBdr/>
              <w:shd w:fill="FFFFFF" w:val="clear"/>
              <w:bidi w:val="0"/>
              <w:spacing w:before="0" w:after="0"/>
              <w:ind w:left="0" w:right="0" w:hanging="0"/>
              <w:jc w:val="left"/>
              <w:rPr/>
            </w:pPr>
            <w:hyperlink w:anchor="Item6Exhibits_177499">
              <w:r>
                <w:rPr>
                  <w:rStyle w:val="InternetLink"/>
                  <w:rFonts w:ascii="Arial;Helvetica;sans-serif" w:hAnsi="Arial;Helvetica;sans-serif"/>
                  <w:b w:val="false"/>
                  <w:i w:val="false"/>
                  <w:caps w:val="false"/>
                  <w:smallCaps w:val="false"/>
                  <w:sz w:val="20"/>
                </w:rPr>
                <w:t>Item 6.</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7846" w:type="dxa"/>
            <w:tcBorders/>
            <w:vAlign w:val="center"/>
          </w:tcPr>
          <w:p>
            <w:pPr>
              <w:pStyle w:val="TableContents"/>
              <w:shd w:fill="FFFFFF" w:val="clear"/>
              <w:bidi w:val="0"/>
              <w:spacing w:before="0" w:after="0"/>
              <w:ind w:left="0" w:right="0" w:hanging="0"/>
              <w:jc w:val="left"/>
              <w:rPr/>
            </w:pPr>
            <w:hyperlink w:anchor="Item6Exhibits_177499">
              <w:r>
                <w:rPr>
                  <w:rStyle w:val="InternetLink"/>
                  <w:rFonts w:ascii="Arial;Helvetica;sans-serif" w:hAnsi="Arial;Helvetica;sans-serif"/>
                  <w:b w:val="false"/>
                  <w:i w:val="false"/>
                  <w:caps w:val="false"/>
                  <w:smallCaps w:val="false"/>
                  <w:sz w:val="20"/>
                </w:rPr>
                <w:t>Exhibits</w:t>
              </w:r>
            </w:hyperlink>
          </w:p>
        </w:tc>
        <w:tc>
          <w:tcPr>
            <w:tcW w:w="109" w:type="dxa"/>
            <w:tcBorders/>
            <w:vAlign w:val="center"/>
          </w:tcPr>
          <w:p>
            <w:pPr>
              <w:pStyle w:val="TableContents"/>
              <w:shd w:fill="FFFFFF" w:val="clea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r>
    </w:tbl>
    <w:p>
      <w:pPr>
        <w:pStyle w:val="TextBody"/>
        <w:shd w:fill="FFFFFF" w:val="clear"/>
        <w:bidi w:val="0"/>
        <w:spacing w:before="100" w:after="100"/>
        <w:ind w:left="0" w:right="0" w:hanging="0"/>
        <w:jc w:val="left"/>
        <w:rPr/>
      </w:pPr>
      <w:r>
        <w:rPr/>
        <w:t>​</w:t>
      </w:r>
    </w:p>
    <w:p>
      <w:pPr>
        <w:pStyle w:val="TextBody"/>
        <w:bidi w:val="0"/>
        <w:spacing w:before="28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b/>
          <w:sz w:val="20"/>
        </w:rPr>
      </w:pPr>
      <w:bookmarkStart w:id="45" w:name="_8db8dc52_6785_4ca6_bb96_f6ca72d9e148"/>
      <w:bookmarkEnd w:id="45"/>
      <w:r>
        <w:rPr>
          <w:rFonts w:ascii="Arial;Helvetica;sans-serif" w:hAnsi="Arial;Helvetica;sans-serif"/>
          <w:b/>
          <w:sz w:val="20"/>
        </w:rPr>
        <w:t>Forward-Looking Information</w:t>
      </w:r>
    </w:p>
    <w:p>
      <w:pPr>
        <w:pStyle w:val="TextBody"/>
        <w:shd w:fill="FFFFFF" w:val="clear"/>
        <w:bidi w:val="0"/>
        <w:spacing w:before="0" w:after="200"/>
        <w:ind w:left="0" w:right="0" w:firstLine="720"/>
        <w:jc w:val="both"/>
        <w:rPr>
          <w:rFonts w:ascii="Arial;Helvetica;sans-serif" w:hAnsi="Arial;Helvetica;sans-serif"/>
          <w:sz w:val="20"/>
        </w:rPr>
      </w:pPr>
      <w:r>
        <w:rPr>
          <w:rFonts w:ascii="Arial;Helvetica;sans-serif" w:hAnsi="Arial;Helvetica;sans-serif"/>
          <w:sz w:val="20"/>
        </w:rPr>
        <w:t>All statements, other than statements of historical facts, contained in this Quarterly Report on Form 10-Q, including statements regarding our business, operations and financial performance and condition, as well as our plans, objectives and expectations for our business, operations and financial performance and condition, are forward-looking statements. In some cases, you can identify forward-looking statements by the following words: “anticipate,” “believe,” “continue,” “could,” “estimate,” “expect,” “intend,” “may,” “might,” “ongoing,” “plan,” “potential,” “predict,” “project,” “should,” “target,” “will,” “would,” or the negative of these terms or other comparable terminology, although not all forward-looking statements contain these words. Forward-looking statements involve known and unknown risks, uncertainties and other factors that may cause our results, levels of activity, performance or achievements to be materially different from the information expressed or implied by the forward-looking statements in this Quarterly Report on Form 10-Q. These risks, uncertainties and other factors include, but are not limited to:</w:t>
      </w:r>
    </w:p>
    <w:p>
      <w:pPr>
        <w:pStyle w:val="Normal"/>
        <w:bidi w:val="0"/>
        <w:spacing w:before="0" w:after="0"/>
        <w:jc w:val="left"/>
        <w:rPr>
          <w:sz w:val="4"/>
          <w:szCs w:val="4"/>
        </w:rPr>
      </w:pPr>
      <w:r>
        <w:rPr>
          <w:sz w:val="4"/>
          <w:szCs w:val="4"/>
        </w:rPr>
      </w:r>
      <w:bookmarkStart w:id="46" w:name="_Hlk163809547"/>
      <w:bookmarkStart w:id="47" w:name="_Hlk163809547"/>
      <w:bookmarkEnd w:id="47"/>
    </w:p>
    <w:tbl>
      <w:tblPr>
        <w:tblW w:w="7101" w:type="dxa"/>
        <w:jc w:val="left"/>
        <w:tblInd w:w="0" w:type="dxa"/>
        <w:shd w:fill="FFFFFF" w:val="clear"/>
        <w:tblLayout w:type="fixed"/>
        <w:tblCellMar>
          <w:top w:w="28" w:type="dxa"/>
          <w:left w:w="28" w:type="dxa"/>
          <w:bottom w:w="28" w:type="dxa"/>
          <w:right w:w="28" w:type="dxa"/>
        </w:tblCellMar>
      </w:tblPr>
      <w:tblGrid>
        <w:gridCol w:w="124"/>
        <w:gridCol w:w="256"/>
        <w:gridCol w:w="67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ability to obtain reimbursement from third-party payers for our products; </w:t>
            </w:r>
          </w:p>
        </w:tc>
      </w:tr>
    </w:tbl>
    <w:tbl>
      <w:tblPr>
        <w:tblW w:w="7656" w:type="dxa"/>
        <w:jc w:val="left"/>
        <w:tblInd w:w="0" w:type="dxa"/>
        <w:shd w:fill="FFFFFF" w:val="clear"/>
        <w:tblLayout w:type="fixed"/>
        <w:tblCellMar>
          <w:top w:w="28" w:type="dxa"/>
          <w:left w:w="28" w:type="dxa"/>
          <w:bottom w:w="28" w:type="dxa"/>
          <w:right w:w="28" w:type="dxa"/>
        </w:tblCellMar>
      </w:tblPr>
      <w:tblGrid>
        <w:gridCol w:w="124"/>
        <w:gridCol w:w="256"/>
        <w:gridCol w:w="72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adverse economic conditions, including inflation, rising interest rates or recession;</w:t>
            </w:r>
          </w:p>
        </w:tc>
      </w:tr>
    </w:tbl>
    <w:tbl>
      <w:tblPr>
        <w:tblW w:w="6081" w:type="dxa"/>
        <w:jc w:val="left"/>
        <w:tblInd w:w="0" w:type="dxa"/>
        <w:shd w:fill="FFFFFF" w:val="clear"/>
        <w:tblLayout w:type="fixed"/>
        <w:tblCellMar>
          <w:top w:w="28" w:type="dxa"/>
          <w:left w:w="28" w:type="dxa"/>
          <w:bottom w:w="28" w:type="dxa"/>
          <w:right w:w="28" w:type="dxa"/>
        </w:tblCellMar>
      </w:tblPr>
      <w:tblGrid>
        <w:gridCol w:w="124"/>
        <w:gridCol w:w="256"/>
        <w:gridCol w:w="570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adequacy of our liquidity to pursue our business objectives; </w:t>
            </w:r>
          </w:p>
        </w:tc>
      </w:tr>
    </w:tbl>
    <w:tbl>
      <w:tblPr>
        <w:tblW w:w="4476" w:type="dxa"/>
        <w:jc w:val="left"/>
        <w:tblInd w:w="0" w:type="dxa"/>
        <w:shd w:fill="FFFFFF" w:val="clear"/>
        <w:tblLayout w:type="fixed"/>
        <w:tblCellMar>
          <w:top w:w="28" w:type="dxa"/>
          <w:left w:w="28" w:type="dxa"/>
          <w:bottom w:w="28" w:type="dxa"/>
          <w:right w:w="28" w:type="dxa"/>
        </w:tblCellMar>
      </w:tblPr>
      <w:tblGrid>
        <w:gridCol w:w="124"/>
        <w:gridCol w:w="256"/>
        <w:gridCol w:w="409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price increases for supplies and components;</w:t>
            </w:r>
          </w:p>
        </w:tc>
      </w:tr>
    </w:tbl>
    <w:tbl>
      <w:tblPr>
        <w:tblW w:w="3711" w:type="dxa"/>
        <w:jc w:val="left"/>
        <w:tblInd w:w="0" w:type="dxa"/>
        <w:shd w:fill="FFFFFF" w:val="clear"/>
        <w:tblLayout w:type="fixed"/>
        <w:tblCellMar>
          <w:top w:w="28" w:type="dxa"/>
          <w:left w:w="28" w:type="dxa"/>
          <w:bottom w:w="28" w:type="dxa"/>
          <w:right w:w="28" w:type="dxa"/>
        </w:tblCellMar>
      </w:tblPr>
      <w:tblGrid>
        <w:gridCol w:w="124"/>
        <w:gridCol w:w="256"/>
        <w:gridCol w:w="333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wage and component price inflation; </w:t>
            </w:r>
          </w:p>
        </w:tc>
      </w:tr>
    </w:tbl>
    <w:tbl>
      <w:tblPr>
        <w:tblW w:w="5391" w:type="dxa"/>
        <w:jc w:val="left"/>
        <w:tblInd w:w="0" w:type="dxa"/>
        <w:shd w:fill="FFFFFF" w:val="clear"/>
        <w:tblLayout w:type="fixed"/>
        <w:tblCellMar>
          <w:top w:w="28" w:type="dxa"/>
          <w:left w:w="28" w:type="dxa"/>
          <w:bottom w:w="28" w:type="dxa"/>
          <w:right w:w="28" w:type="dxa"/>
        </w:tblCellMar>
      </w:tblPr>
      <w:tblGrid>
        <w:gridCol w:w="124"/>
        <w:gridCol w:w="256"/>
        <w:gridCol w:w="501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loss of a key supplier or other supply chain disruptions; </w:t>
            </w:r>
          </w:p>
        </w:tc>
      </w:tr>
    </w:tbl>
    <w:tbl>
      <w:tblPr>
        <w:tblW w:w="5271" w:type="dxa"/>
        <w:jc w:val="left"/>
        <w:tblInd w:w="0" w:type="dxa"/>
        <w:shd w:fill="FFFFFF" w:val="clear"/>
        <w:tblLayout w:type="fixed"/>
        <w:tblCellMar>
          <w:top w:w="28" w:type="dxa"/>
          <w:left w:w="28" w:type="dxa"/>
          <w:bottom w:w="28" w:type="dxa"/>
          <w:right w:w="28" w:type="dxa"/>
        </w:tblCellMar>
      </w:tblPr>
      <w:tblGrid>
        <w:gridCol w:w="124"/>
        <w:gridCol w:w="256"/>
        <w:gridCol w:w="489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entry of new competitors and/or competitive products; </w:t>
            </w:r>
          </w:p>
        </w:tc>
      </w:tr>
    </w:tbl>
    <w:tbl>
      <w:tblPr>
        <w:tblW w:w="8316" w:type="dxa"/>
        <w:jc w:val="left"/>
        <w:tblInd w:w="0" w:type="dxa"/>
        <w:shd w:fill="FFFFFF" w:val="clear"/>
        <w:tblLayout w:type="fixed"/>
        <w:tblCellMar>
          <w:top w:w="28" w:type="dxa"/>
          <w:left w:w="28" w:type="dxa"/>
          <w:bottom w:w="28" w:type="dxa"/>
          <w:right w:w="28" w:type="dxa"/>
        </w:tblCellMar>
      </w:tblPr>
      <w:tblGrid>
        <w:gridCol w:w="124"/>
        <w:gridCol w:w="256"/>
        <w:gridCol w:w="79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and changes in federal, state and local government laws and regulations;</w:t>
            </w:r>
          </w:p>
        </w:tc>
      </w:tr>
    </w:tbl>
    <w:tbl>
      <w:tblPr>
        <w:tblW w:w="6426" w:type="dxa"/>
        <w:jc w:val="left"/>
        <w:tblInd w:w="0" w:type="dxa"/>
        <w:shd w:fill="FFFFFF" w:val="clear"/>
        <w:tblLayout w:type="fixed"/>
        <w:tblCellMar>
          <w:top w:w="28" w:type="dxa"/>
          <w:left w:w="28" w:type="dxa"/>
          <w:bottom w:w="28" w:type="dxa"/>
          <w:right w:w="28" w:type="dxa"/>
        </w:tblCellMar>
      </w:tblPr>
      <w:tblGrid>
        <w:gridCol w:w="124"/>
        <w:gridCol w:w="256"/>
        <w:gridCol w:w="604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technological obsolescence of, or quality issues with, our products; </w:t>
            </w:r>
          </w:p>
        </w:tc>
      </w:tr>
    </w:tbl>
    <w:tbl>
      <w:tblPr>
        <w:tblW w:w="6186" w:type="dxa"/>
        <w:jc w:val="left"/>
        <w:tblInd w:w="0" w:type="dxa"/>
        <w:shd w:fill="FFFFFF" w:val="clear"/>
        <w:tblLayout w:type="fixed"/>
        <w:tblCellMar>
          <w:top w:w="28" w:type="dxa"/>
          <w:left w:w="28" w:type="dxa"/>
          <w:bottom w:w="28" w:type="dxa"/>
          <w:right w:w="28" w:type="dxa"/>
        </w:tblCellMar>
      </w:tblPr>
      <w:tblGrid>
        <w:gridCol w:w="124"/>
        <w:gridCol w:w="256"/>
        <w:gridCol w:w="58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ability to expand our business through strategic acquisitions; </w:t>
            </w:r>
          </w:p>
        </w:tc>
      </w:tr>
    </w:tbl>
    <w:tbl>
      <w:tblPr>
        <w:tblW w:w="5691" w:type="dxa"/>
        <w:jc w:val="left"/>
        <w:tblInd w:w="0" w:type="dxa"/>
        <w:shd w:fill="FFFFFF" w:val="clear"/>
        <w:tblLayout w:type="fixed"/>
        <w:tblCellMar>
          <w:top w:w="28" w:type="dxa"/>
          <w:left w:w="28" w:type="dxa"/>
          <w:bottom w:w="28" w:type="dxa"/>
          <w:right w:w="28" w:type="dxa"/>
        </w:tblCellMar>
      </w:tblPr>
      <w:tblGrid>
        <w:gridCol w:w="124"/>
        <w:gridCol w:w="256"/>
        <w:gridCol w:w="531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ability to integrate acquisitions and related businesses; </w:t>
            </w:r>
          </w:p>
        </w:tc>
      </w:tr>
    </w:tbl>
    <w:tbl>
      <w:tblPr>
        <w:tblW w:w="7761" w:type="dxa"/>
        <w:jc w:val="left"/>
        <w:tblInd w:w="0" w:type="dxa"/>
        <w:shd w:fill="FFFFFF" w:val="clear"/>
        <w:tblLayout w:type="fixed"/>
        <w:tblCellMar>
          <w:top w:w="28" w:type="dxa"/>
          <w:left w:w="28" w:type="dxa"/>
          <w:bottom w:w="28" w:type="dxa"/>
          <w:right w:w="28" w:type="dxa"/>
        </w:tblCellMar>
      </w:tblPr>
      <w:tblGrid>
        <w:gridCol w:w="124"/>
        <w:gridCol w:w="256"/>
        <w:gridCol w:w="738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current and future U.S. and foreign trade policy and tariff actions; and</w:t>
            </w:r>
          </w:p>
        </w:tc>
      </w:tr>
    </w:tbl>
    <w:tbl>
      <w:tblPr>
        <w:tblW w:w="7206" w:type="dxa"/>
        <w:jc w:val="left"/>
        <w:tblInd w:w="0" w:type="dxa"/>
        <w:shd w:fill="FFFFFF" w:val="clear"/>
        <w:tblLayout w:type="fixed"/>
        <w:tblCellMar>
          <w:top w:w="28" w:type="dxa"/>
          <w:left w:w="28" w:type="dxa"/>
          <w:bottom w:w="28" w:type="dxa"/>
          <w:right w:w="28" w:type="dxa"/>
        </w:tblCellMar>
      </w:tblPr>
      <w:tblGrid>
        <w:gridCol w:w="124"/>
        <w:gridCol w:w="256"/>
        <w:gridCol w:w="682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inability to carry out research, development and commercialization plans.</w:t>
            </w:r>
          </w:p>
        </w:tc>
      </w:tr>
    </w:tbl>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You should read the matters described in “Risk Factors” and the other cautionary statements made in our Annual Report on Form 10-K for the year ended December 31, 2025, and in subsequent Quarterly Reports on Form 10-Q. We cannot assure you that the forward-looking statements in this report will prove to be accurate and therefore you are encouraged not to place undue reliance on forward-looking statements. Actual results or events could differ materially from the plans, intentions and expectations disclosed in the forward-looking statements we make. You are urged to carefully review and consider the various disclosures made by us in this report and in other filings with the Securities and Exchange Commission (the “SEC”) that advise of the risks and factors that may affect our business. Other than as required by law, we undertake no obligation to update or revise these forward-looking statements, whether as a result of new information, future events or otherwise. Our forward-looking statements do not reflect the potential impact of any future acquisitions, mergers, dispositions, joint ventures or investments that we may make.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b/>
          <w:sz w:val="20"/>
        </w:rPr>
      </w:pPr>
      <w:bookmarkStart w:id="48" w:name="PARTIFINANCIALINFORMATION_933021"/>
      <w:bookmarkStart w:id="49" w:name="_50012aa0_a0c7_4b0a_81fd_e58e9cc35415"/>
      <w:bookmarkEnd w:id="48"/>
      <w:bookmarkEnd w:id="49"/>
      <w:r>
        <w:rPr>
          <w:rFonts w:ascii="Arial;Helvetica;sans-serif" w:hAnsi="Arial;Helvetica;sans-serif"/>
          <w:b/>
          <w:sz w:val="20"/>
        </w:rPr>
        <w:t>PART I—FINANCIAL INFORMATION</w:t>
      </w:r>
    </w:p>
    <w:p>
      <w:pPr>
        <w:pStyle w:val="TextBody"/>
        <w:shd w:fill="FFFFFF" w:val="clear"/>
        <w:bidi w:val="0"/>
        <w:spacing w:before="0" w:after="0"/>
        <w:ind w:left="0" w:right="0" w:hanging="0"/>
        <w:jc w:val="both"/>
        <w:rPr>
          <w:rFonts w:ascii="Arial;Helvetica;sans-serif" w:hAnsi="Arial;Helvetica;sans-serif"/>
          <w:b/>
          <w:sz w:val="20"/>
        </w:rPr>
      </w:pPr>
      <w:bookmarkStart w:id="50" w:name="Item1FinancialStatements"/>
      <w:bookmarkEnd w:id="50"/>
      <w:r>
        <w:rPr>
          <w:rFonts w:ascii="Arial;Helvetica;sans-serif" w:hAnsi="Arial;Helvetica;sans-serif"/>
          <w:b/>
          <w:sz w:val="20"/>
        </w:rPr>
        <w:t>Item 1. Financial Statements</w:t>
      </w:r>
    </w:p>
    <w:p>
      <w:pPr>
        <w:pStyle w:val="Normal"/>
        <w:bidi w:val="0"/>
        <w:spacing w:before="0" w:after="0"/>
        <w:jc w:val="left"/>
        <w:rPr>
          <w:sz w:val="4"/>
          <w:szCs w:val="4"/>
        </w:rPr>
      </w:pPr>
      <w:r>
        <w:rPr>
          <w:sz w:val="4"/>
          <w:szCs w:val="4"/>
        </w:rPr>
      </w:r>
      <w:bookmarkStart w:id="51" w:name="Tc_mPttn1SFy0WL_CsD_ZgDQA_47_5"/>
      <w:bookmarkStart w:id="52" w:name="Tc_SyMvehKnvkOqO77Q8QKS_g_47_2"/>
      <w:bookmarkStart w:id="53" w:name="Tc_jzI_HwFPU0q36r-xCUKTfA_47_0"/>
      <w:bookmarkStart w:id="54" w:name="Tc_3VzzwcRprEmfW9YKFZO_ew_46_0"/>
      <w:bookmarkStart w:id="55" w:name="Tc_d2onqtzcfUOPdHRglOqs3A_45_0"/>
      <w:bookmarkStart w:id="56" w:name="Tc_Typb-QGSw0uqv7tqxSXZnA_44_0"/>
      <w:bookmarkStart w:id="57" w:name="Tc_6f0fKRPHsU-YjFV7yYc1zg_43_0"/>
      <w:bookmarkStart w:id="58" w:name="Tc_tQpQcrQt3kqmkWv8YvE5AA_42_0"/>
      <w:bookmarkStart w:id="59" w:name="Tc_si2dw5nCbEaxA47KqVfICg_41_0"/>
      <w:bookmarkStart w:id="60" w:name="Tc_nmNBQufso0CFsdAY7rhFcw_40_0"/>
      <w:bookmarkStart w:id="61" w:name="Tc_ibGbBezgHUisbsVv99k7MQ_39_0"/>
      <w:bookmarkStart w:id="62" w:name="Tc_yIOhR1lhRU-orjPzRYx2Aw_38_0"/>
      <w:bookmarkStart w:id="63" w:name="Tc_5ZdQmblffk2xVmw79xnJBA_37_6"/>
      <w:bookmarkStart w:id="64" w:name="Tc_op2CB0fP7k-ldrHZA1ex-A_37_0"/>
      <w:bookmarkStart w:id="65" w:name="Tc_PsrQ_x1CDU29R4CcfhRFBQ_36_0"/>
      <w:bookmarkStart w:id="66" w:name="Tc_5Czi6Od2dkCYUblUvNr5HQ_35_0"/>
      <w:bookmarkStart w:id="67" w:name="Tc_c0vN4NMh9kifli58FS9tEQ_34_0"/>
      <w:bookmarkStart w:id="68" w:name="Tc_UBrW3Y9uaUO1gmPjkdTOgg_33_0"/>
      <w:bookmarkStart w:id="69" w:name="Tc_iTnry80_z0qyU5DepNcHew_32_0"/>
      <w:bookmarkStart w:id="70" w:name="Tc_0BM5D_pvyU-k6D1F1SxtUA_31_0"/>
      <w:bookmarkStart w:id="71" w:name="Tc_OmWcQKmEh0KLMRH5TOGawA_30_0"/>
      <w:bookmarkStart w:id="72" w:name="Tc_HyhKrPrqoEih8AS4PWqaow_29_3"/>
      <w:bookmarkStart w:id="73" w:name="Tc_5H73GJriUEKzp1gZUV7Lgw_29_0"/>
      <w:bookmarkStart w:id="74" w:name="Tc_KVQ9_SwftU6a0Y5cGuoepQ_28_0"/>
      <w:bookmarkStart w:id="75" w:name="Tc_BU3W1sd9g0i6c6hXaHYoaA_27_0"/>
      <w:bookmarkStart w:id="76" w:name="Tc_fRT0PA-S0UqrNFh_nwcKtg_26_5"/>
      <w:bookmarkStart w:id="77" w:name="Tc_CtpkKCd5_EukzNF8pVjarg_26_2"/>
      <w:bookmarkStart w:id="78" w:name="Tc_cQTyUKNomEexhQ6pZahS4w_26_0"/>
      <w:bookmarkStart w:id="79" w:name="Tc_QN-xr5bLFUy4EA2QRJS1jA_25_0"/>
      <w:bookmarkStart w:id="80" w:name="Tc_IYC4FbguwEu2he3U37vrPw_24_0"/>
      <w:bookmarkStart w:id="81" w:name="Tc_3GN7sGMz-UC_On2I-u-CHw_23_5"/>
      <w:bookmarkStart w:id="82" w:name="Tc_FWmuxIPSAkmSuyx3CeMWDQ_23_2"/>
      <w:bookmarkStart w:id="83" w:name="Tc_1lhogxA6006R83F51IGkPw_23_0"/>
      <w:bookmarkStart w:id="84" w:name="Tc_jeJ3umiaE0WoboSJ2cyy_w_22_0"/>
      <w:bookmarkStart w:id="85" w:name="Tc_KtvNVP5Sy0CoXiL5hTcomw_21_0"/>
      <w:bookmarkStart w:id="86" w:name="Tc_AWEfN455G0G7fAhhVH1qCQ_20_0"/>
      <w:bookmarkStart w:id="87" w:name="Tc_LUClh2_3j0mHnMxNOrdssw_19_0"/>
      <w:bookmarkStart w:id="88" w:name="Tc_-IexyFWC20CTCk9gaSArdA_18_0"/>
      <w:bookmarkStart w:id="89" w:name="Tc_HsyYOtGQT0C5skRSNxV-Lw_17_0"/>
      <w:bookmarkStart w:id="90" w:name="Tc_tU2PajRDkke2cmWxxOy5xQ_16_0"/>
      <w:bookmarkStart w:id="91" w:name="Tc_5GHBIvktOkC98AwqTxYoaQ_15_0"/>
      <w:bookmarkStart w:id="92" w:name="Tc_C4P1dahjAE2l9-apYbbfhA_14_0"/>
      <w:bookmarkStart w:id="93" w:name="Tc_QxtWAADWpUqIbLQZP-2Sow_13_0"/>
      <w:bookmarkStart w:id="94" w:name="Tc_ac0mIxfgZkOAxBEhLyVYOw_12_6"/>
      <w:bookmarkStart w:id="95" w:name="Tc_pSKVssui9UaCNPdtGxKHtw_12_0"/>
      <w:bookmarkStart w:id="96" w:name="Tc_BrRGcIy7LUucdZDEqTzyFQ_11_0"/>
      <w:bookmarkStart w:id="97" w:name="Tc_506yReCyvkiEYx-8OWgtvQ_10_0"/>
      <w:bookmarkStart w:id="98" w:name="Tc_wVQ2ywmmcEqFjrgEh7onDQ_9_0"/>
      <w:bookmarkStart w:id="99" w:name="Tc_xtzCbYJVLUCTj-2trOdxqw_8_5"/>
      <w:bookmarkStart w:id="100" w:name="Tc_cNh4bZ3s1kavi69l7Rsjvg_8_2"/>
      <w:bookmarkStart w:id="101" w:name="Tc_ZgeqfRCU60-mx0Wl5PxaeQ_8_0"/>
      <w:bookmarkStart w:id="102" w:name="Tc_eOJlR2-D102a8mU89t6BEQ_7_0"/>
      <w:bookmarkStart w:id="103" w:name="Tc_wPWrwsNPNUuvJQa_xFMccA_6_0"/>
      <w:bookmarkStart w:id="104" w:name="Tc_ArODvb5LDUCnPYnwxfYBdw_5_5"/>
      <w:bookmarkStart w:id="105" w:name="Tc_Ady_-9el2kWkyyZUWZWSfw_5_2"/>
      <w:bookmarkStart w:id="106" w:name="Tc_I4ul9k6XOEODHGCO5CswMg_5_0"/>
      <w:bookmarkStart w:id="107" w:name="Tc_HD_vTw6CkEmwpiWdIBnMaw_4_5"/>
      <w:bookmarkStart w:id="108" w:name="Tc_-fv5CIiYZk6XLetXtzIEhw_4_2"/>
      <w:bookmarkStart w:id="109" w:name="Tc_jrkvLTnDpUqh0VXJHYDvYA_3_0"/>
      <w:bookmarkStart w:id="110" w:name="Tc_20MDNZSb9UGX39ylwzlttg_2_0"/>
      <w:bookmarkStart w:id="111" w:name="Tc_rbBesfVZ9kuHq14zt7sKLg_1_0"/>
      <w:bookmarkStart w:id="112" w:name="_be5fa61a_9cdb_4c0f_832c_2bb4b79cd175"/>
      <w:bookmarkStart w:id="113" w:name="Tc_mPttn1SFy0WL_CsD_ZgDQA_47_5"/>
      <w:bookmarkStart w:id="114" w:name="Tc_SyMvehKnvkOqO77Q8QKS_g_47_2"/>
      <w:bookmarkStart w:id="115" w:name="Tc_jzI_HwFPU0q36r-xCUKTfA_47_0"/>
      <w:bookmarkStart w:id="116" w:name="Tc_3VzzwcRprEmfW9YKFZO_ew_46_0"/>
      <w:bookmarkStart w:id="117" w:name="Tc_d2onqtzcfUOPdHRglOqs3A_45_0"/>
      <w:bookmarkStart w:id="118" w:name="Tc_Typb-QGSw0uqv7tqxSXZnA_44_0"/>
      <w:bookmarkStart w:id="119" w:name="Tc_6f0fKRPHsU-YjFV7yYc1zg_43_0"/>
      <w:bookmarkStart w:id="120" w:name="Tc_tQpQcrQt3kqmkWv8YvE5AA_42_0"/>
      <w:bookmarkStart w:id="121" w:name="Tc_si2dw5nCbEaxA47KqVfICg_41_0"/>
      <w:bookmarkStart w:id="122" w:name="Tc_nmNBQufso0CFsdAY7rhFcw_40_0"/>
      <w:bookmarkStart w:id="123" w:name="Tc_ibGbBezgHUisbsVv99k7MQ_39_0"/>
      <w:bookmarkStart w:id="124" w:name="Tc_yIOhR1lhRU-orjPzRYx2Aw_38_0"/>
      <w:bookmarkStart w:id="125" w:name="Tc_5ZdQmblffk2xVmw79xnJBA_37_6"/>
      <w:bookmarkStart w:id="126" w:name="Tc_op2CB0fP7k-ldrHZA1ex-A_37_0"/>
      <w:bookmarkStart w:id="127" w:name="Tc_PsrQ_x1CDU29R4CcfhRFBQ_36_0"/>
      <w:bookmarkStart w:id="128" w:name="Tc_5Czi6Od2dkCYUblUvNr5HQ_35_0"/>
      <w:bookmarkStart w:id="129" w:name="Tc_c0vN4NMh9kifli58FS9tEQ_34_0"/>
      <w:bookmarkStart w:id="130" w:name="Tc_UBrW3Y9uaUO1gmPjkdTOgg_33_0"/>
      <w:bookmarkStart w:id="131" w:name="Tc_iTnry80_z0qyU5DepNcHew_32_0"/>
      <w:bookmarkStart w:id="132" w:name="Tc_0BM5D_pvyU-k6D1F1SxtUA_31_0"/>
      <w:bookmarkStart w:id="133" w:name="Tc_OmWcQKmEh0KLMRH5TOGawA_30_0"/>
      <w:bookmarkStart w:id="134" w:name="Tc_HyhKrPrqoEih8AS4PWqaow_29_3"/>
      <w:bookmarkStart w:id="135" w:name="Tc_5H73GJriUEKzp1gZUV7Lgw_29_0"/>
      <w:bookmarkStart w:id="136" w:name="Tc_KVQ9_SwftU6a0Y5cGuoepQ_28_0"/>
      <w:bookmarkStart w:id="137" w:name="Tc_BU3W1sd9g0i6c6hXaHYoaA_27_0"/>
      <w:bookmarkStart w:id="138" w:name="Tc_fRT0PA-S0UqrNFh_nwcKtg_26_5"/>
      <w:bookmarkStart w:id="139" w:name="Tc_CtpkKCd5_EukzNF8pVjarg_26_2"/>
      <w:bookmarkStart w:id="140" w:name="Tc_cQTyUKNomEexhQ6pZahS4w_26_0"/>
      <w:bookmarkStart w:id="141" w:name="Tc_QN-xr5bLFUy4EA2QRJS1jA_25_0"/>
      <w:bookmarkStart w:id="142" w:name="Tc_IYC4FbguwEu2he3U37vrPw_24_0"/>
      <w:bookmarkStart w:id="143" w:name="Tc_3GN7sGMz-UC_On2I-u-CHw_23_5"/>
      <w:bookmarkStart w:id="144" w:name="Tc_FWmuxIPSAkmSuyx3CeMWDQ_23_2"/>
      <w:bookmarkStart w:id="145" w:name="Tc_1lhogxA6006R83F51IGkPw_23_0"/>
      <w:bookmarkStart w:id="146" w:name="Tc_jeJ3umiaE0WoboSJ2cyy_w_22_0"/>
      <w:bookmarkStart w:id="147" w:name="Tc_KtvNVP5Sy0CoXiL5hTcomw_21_0"/>
      <w:bookmarkStart w:id="148" w:name="Tc_AWEfN455G0G7fAhhVH1qCQ_20_0"/>
      <w:bookmarkStart w:id="149" w:name="Tc_LUClh2_3j0mHnMxNOrdssw_19_0"/>
      <w:bookmarkStart w:id="150" w:name="Tc_-IexyFWC20CTCk9gaSArdA_18_0"/>
      <w:bookmarkStart w:id="151" w:name="Tc_HsyYOtGQT0C5skRSNxV-Lw_17_0"/>
      <w:bookmarkStart w:id="152" w:name="Tc_tU2PajRDkke2cmWxxOy5xQ_16_0"/>
      <w:bookmarkStart w:id="153" w:name="Tc_5GHBIvktOkC98AwqTxYoaQ_15_0"/>
      <w:bookmarkStart w:id="154" w:name="Tc_C4P1dahjAE2l9-apYbbfhA_14_0"/>
      <w:bookmarkStart w:id="155" w:name="Tc_QxtWAADWpUqIbLQZP-2Sow_13_0"/>
      <w:bookmarkStart w:id="156" w:name="Tc_ac0mIxfgZkOAxBEhLyVYOw_12_6"/>
      <w:bookmarkStart w:id="157" w:name="Tc_pSKVssui9UaCNPdtGxKHtw_12_0"/>
      <w:bookmarkStart w:id="158" w:name="Tc_BrRGcIy7LUucdZDEqTzyFQ_11_0"/>
      <w:bookmarkStart w:id="159" w:name="Tc_506yReCyvkiEYx-8OWgtvQ_10_0"/>
      <w:bookmarkStart w:id="160" w:name="Tc_wVQ2ywmmcEqFjrgEh7onDQ_9_0"/>
      <w:bookmarkStart w:id="161" w:name="Tc_xtzCbYJVLUCTj-2trOdxqw_8_5"/>
      <w:bookmarkStart w:id="162" w:name="Tc_cNh4bZ3s1kavi69l7Rsjvg_8_2"/>
      <w:bookmarkStart w:id="163" w:name="Tc_ZgeqfRCU60-mx0Wl5PxaeQ_8_0"/>
      <w:bookmarkStart w:id="164" w:name="Tc_eOJlR2-D102a8mU89t6BEQ_7_0"/>
      <w:bookmarkStart w:id="165" w:name="Tc_wPWrwsNPNUuvJQa_xFMccA_6_0"/>
      <w:bookmarkStart w:id="166" w:name="Tc_ArODvb5LDUCnPYnwxfYBdw_5_5"/>
      <w:bookmarkStart w:id="167" w:name="Tc_Ady_-9el2kWkyyZUWZWSfw_5_2"/>
      <w:bookmarkStart w:id="168" w:name="Tc_I4ul9k6XOEODHGCO5CswMg_5_0"/>
      <w:bookmarkStart w:id="169" w:name="Tc_HD_vTw6CkEmwpiWdIBnMaw_4_5"/>
      <w:bookmarkStart w:id="170" w:name="Tc_-fv5CIiYZk6XLetXtzIEhw_4_2"/>
      <w:bookmarkStart w:id="171" w:name="Tc_jrkvLTnDpUqh0VXJHYDvYA_3_0"/>
      <w:bookmarkStart w:id="172" w:name="Tc_20MDNZSb9UGX39ylwzlttg_2_0"/>
      <w:bookmarkStart w:id="173" w:name="Tc_rbBesfVZ9kuHq14zt7sKLg_1_0"/>
      <w:bookmarkStart w:id="174" w:name="_be5fa61a_9cdb_4c0f_832c_2bb4b79cd17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tbl>
      <w:tblPr>
        <w:tblW w:w="10205" w:type="dxa"/>
        <w:jc w:val="left"/>
        <w:tblInd w:w="0" w:type="dxa"/>
        <w:tblLayout w:type="fixed"/>
        <w:tblCellMar>
          <w:top w:w="0" w:type="dxa"/>
          <w:left w:w="0" w:type="dxa"/>
          <w:bottom w:w="0" w:type="dxa"/>
          <w:right w:w="0" w:type="dxa"/>
        </w:tblCellMar>
      </w:tblPr>
      <w:tblGrid>
        <w:gridCol w:w="7533"/>
        <w:gridCol w:w="346"/>
        <w:gridCol w:w="196"/>
        <w:gridCol w:w="691"/>
        <w:gridCol w:w="346"/>
        <w:gridCol w:w="215"/>
        <w:gridCol w:w="878"/>
      </w:tblGrid>
      <w:tr>
        <w:trPr/>
        <w:tc>
          <w:tcPr>
            <w:tcW w:w="7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83455" cy="175260"/>
                      <wp:effectExtent l="0" t="0" r="0" b="0"/>
                      <wp:wrapNone/>
                      <wp:docPr id="4" name="Frame4"/>
                      <a:graphic xmlns:a="http://schemas.openxmlformats.org/drawingml/2006/main">
                        <a:graphicData uri="http://schemas.microsoft.com/office/word/2010/wordprocessingShape">
                          <wps:wsp>
                            <wps:cNvSpPr txBox="1"/>
                            <wps:spPr>
                              <a:xfrm>
                                <a:off x="0" y="0"/>
                                <a:ext cx="4783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38785" cy="175260"/>
                      <wp:effectExtent l="0" t="0" r="0" b="0"/>
                      <wp:wrapNone/>
                      <wp:docPr id="7" name="Frame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6525" cy="175260"/>
                      <wp:effectExtent l="0" t="0" r="0" b="0"/>
                      <wp:wrapNone/>
                      <wp:docPr id="9" name="Frame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57530" cy="175260"/>
                      <wp:effectExtent l="0" t="0" r="0" b="0"/>
                      <wp:wrapNone/>
                      <wp:docPr id="10" name="Frame10"/>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7"/>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Tactile Systems Technology, Inc.</w:t>
            </w:r>
          </w:p>
        </w:tc>
      </w:tr>
      <w:tr>
        <w:trPr/>
        <w:tc>
          <w:tcPr>
            <w:tcW w:w="10205" w:type="dxa"/>
            <w:gridSpan w:val="7"/>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Condensed Consolidated Balance Sheets</w:t>
            </w:r>
          </w:p>
        </w:tc>
      </w:tr>
      <w:tr>
        <w:trPr/>
        <w:tc>
          <w:tcPr>
            <w:tcW w:w="10205" w:type="dxa"/>
            <w:gridSpan w:val="7"/>
            <w:tcBorders/>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(Unaudited)</w:t>
            </w:r>
          </w:p>
        </w:tc>
      </w:tr>
      <w:tr>
        <w:trPr/>
        <w:tc>
          <w:tcPr>
            <w:tcW w:w="75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June 30,</w:t>
            </w:r>
          </w:p>
        </w:tc>
        <w:tc>
          <w:tcPr>
            <w:tcW w:w="346" w:type="dxa"/>
            <w:tcBorders/>
            <w:vAlign w:val="center"/>
          </w:tcPr>
          <w:p>
            <w:pPr>
              <w:pStyle w:val="TableContents"/>
              <w:bidi w:val="0"/>
              <w:spacing w:before="0" w:after="0"/>
              <w:ind w:left="0" w:right="0" w:hanging="0"/>
              <w:jc w:val="left"/>
              <w:rPr/>
            </w:pPr>
            <w:r>
              <w:rPr/>
              <w:t>  ​ ​ ​</w:t>
            </w:r>
          </w:p>
        </w:tc>
        <w:tc>
          <w:tcPr>
            <w:tcW w:w="1093" w:type="dxa"/>
            <w:gridSpan w:val="2"/>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December 31,</w:t>
            </w:r>
          </w:p>
        </w:tc>
      </w:tr>
      <w:tr>
        <w:trPr/>
        <w:tc>
          <w:tcPr>
            <w:tcW w:w="7533"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 thousands, except share and per share data)</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2026</w:t>
            </w:r>
          </w:p>
        </w:tc>
        <w:tc>
          <w:tcPr>
            <w:tcW w:w="346" w:type="dxa"/>
            <w:tcBorders/>
            <w:vAlign w:val="center"/>
          </w:tcPr>
          <w:p>
            <w:pPr>
              <w:pStyle w:val="TableContents"/>
              <w:bidi w:val="0"/>
              <w:spacing w:before="0" w:after="0"/>
              <w:ind w:left="0" w:right="0" w:hanging="0"/>
              <w:jc w:val="left"/>
              <w:rPr/>
            </w:pPr>
            <w:r>
              <w:rPr/>
              <w:t>  ​ ​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2025</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b/>
                <w:i/>
                <w:sz w:val="17"/>
              </w:rPr>
            </w:pPr>
            <w:r>
              <w:rPr>
                <w:rFonts w:ascii="Arial;Helvetica;sans-serif" w:hAnsi="Arial;Helvetica;sans-serif"/>
                <w:b/>
                <w:i/>
                <w:sz w:val="17"/>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887" w:type="dxa"/>
            <w:gridSpan w:val="2"/>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69,853</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83,446</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Accounts receivable,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43,140</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43,876</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Net investment in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14,927</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15,754</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16,845</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14,025</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Income taxes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912</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pPr>
            <w:r>
              <w:rPr/>
              <w:t>—</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11,925</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8,066</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157,602</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165,167</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Non-current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5,849</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5,117</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Right of use operating lease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12,553</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13,798</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44,747</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39,167</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Goodwill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39,554</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31,063</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8,703</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9,783</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Other non-current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10,660</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9,847</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Total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122,066</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108,775</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279,668</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273,942</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b/>
                <w:i/>
                <w:sz w:val="17"/>
              </w:rPr>
            </w:pPr>
            <w:r>
              <w:rPr>
                <w:rFonts w:ascii="Arial;Helvetica;sans-serif" w:hAnsi="Arial;Helvetica;sans-serif"/>
                <w:b/>
                <w:i/>
                <w:sz w:val="17"/>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7,923</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4,968</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Accrued payroll and related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15,615</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19,378</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8,423</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8,531</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Income taxes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1,428</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3,095</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3,195</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3,197</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3,457</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38,253</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40,957</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Accrued warranty reserve,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1,079</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1,045</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Income taxes payable,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370</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275</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Operating lease liabilities,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11,267</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12,763</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4,863</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17,579</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14,083</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55,832</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55,040</w:t>
            </w:r>
          </w:p>
        </w:tc>
      </w:tr>
      <w:tr>
        <w:trPr/>
        <w:tc>
          <w:tcPr>
            <w:tcW w:w="75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b/>
                <w:sz w:val="17"/>
              </w:rPr>
              <w:t>Commitments and Contingencies</w:t>
            </w:r>
            <w:r>
              <w:rPr>
                <w:rFonts w:ascii="Times New Roman;Times;serif" w:hAnsi="Times New Roman;Times;serif"/>
                <w:sz w:val="16"/>
              </w:rPr>
              <w:t xml:space="preserve"> </w:t>
            </w:r>
            <w:r>
              <w:rPr>
                <w:rFonts w:ascii="Arial;Helvetica;sans-serif" w:hAnsi="Arial;Helvetica;sans-serif"/>
                <w:sz w:val="17"/>
              </w:rPr>
              <w:t>(see Note 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r>
      <w:tr>
        <w:trPr/>
        <w:tc>
          <w:tcPr>
            <w:tcW w:w="75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7"/>
              </w:rPr>
              <w:t>Preferred stock, $0.001</w:t>
            </w:r>
            <w:r>
              <w:rPr>
                <w:rFonts w:ascii="Times New Roman;Times;serif" w:hAnsi="Times New Roman;Times;serif"/>
                <w:sz w:val="16"/>
              </w:rPr>
              <w:t xml:space="preserve"> </w:t>
            </w:r>
            <w:r>
              <w:rPr>
                <w:rFonts w:ascii="Arial;Helvetica;sans-serif" w:hAnsi="Arial;Helvetica;sans-serif"/>
                <w:sz w:val="17"/>
              </w:rPr>
              <w:t>par value, 50,000,000</w:t>
            </w:r>
            <w:r>
              <w:rPr>
                <w:rFonts w:ascii="Times New Roman;Times;serif" w:hAnsi="Times New Roman;Times;serif"/>
                <w:sz w:val="16"/>
              </w:rPr>
              <w:t xml:space="preserve"> </w:t>
            </w:r>
            <w:r>
              <w:rPr>
                <w:rFonts w:ascii="Arial;Helvetica;sans-serif" w:hAnsi="Arial;Helvetica;sans-serif"/>
                <w:sz w:val="17"/>
              </w:rPr>
              <w:t>shares authorized; none</w:t>
            </w:r>
            <w:r>
              <w:rPr>
                <w:rFonts w:ascii="Times New Roman;Times;serif" w:hAnsi="Times New Roman;Times;serif"/>
                <w:sz w:val="16"/>
              </w:rPr>
              <w:t xml:space="preserve"> </w:t>
            </w:r>
            <w:r>
              <w:rPr>
                <w:rFonts w:ascii="Arial;Helvetica;sans-serif" w:hAnsi="Arial;Helvetica;sans-serif"/>
                <w:sz w:val="17"/>
              </w:rPr>
              <w:t>issued and outstanding as of June 30,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5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7"/>
              </w:rPr>
              <w:t>Common stock, $0.001</w:t>
            </w:r>
            <w:r>
              <w:rPr>
                <w:rFonts w:ascii="Times New Roman;Times;serif" w:hAnsi="Times New Roman;Times;serif"/>
                <w:sz w:val="16"/>
              </w:rPr>
              <w:t xml:space="preserve"> </w:t>
            </w:r>
            <w:r>
              <w:rPr>
                <w:rFonts w:ascii="Arial;Helvetica;sans-serif" w:hAnsi="Arial;Helvetica;sans-serif"/>
                <w:sz w:val="17"/>
              </w:rPr>
              <w:t>par value, 300,000,000</w:t>
            </w:r>
            <w:r>
              <w:rPr>
                <w:rFonts w:ascii="Times New Roman;Times;serif" w:hAnsi="Times New Roman;Times;serif"/>
                <w:sz w:val="16"/>
              </w:rPr>
              <w:t xml:space="preserve"> </w:t>
            </w:r>
            <w:r>
              <w:rPr>
                <w:rFonts w:ascii="Arial;Helvetica;sans-serif" w:hAnsi="Arial;Helvetica;sans-serif"/>
                <w:sz w:val="17"/>
              </w:rPr>
              <w:t>shares authorized; 22,701,241</w:t>
            </w:r>
            <w:r>
              <w:rPr>
                <w:rFonts w:ascii="Times New Roman;Times;serif" w:hAnsi="Times New Roman;Times;serif"/>
                <w:sz w:val="16"/>
              </w:rPr>
              <w:t xml:space="preserve"> </w:t>
            </w:r>
            <w:r>
              <w:rPr>
                <w:rFonts w:ascii="Arial;Helvetica;sans-serif" w:hAnsi="Arial;Helvetica;sans-serif"/>
                <w:sz w:val="17"/>
              </w:rPr>
              <w:t>shares issued and outstanding as of June 30, 2026; 22,438,926</w:t>
            </w:r>
            <w:r>
              <w:rPr>
                <w:rFonts w:ascii="Times New Roman;Times;serif" w:hAnsi="Times New Roman;Times;serif"/>
                <w:sz w:val="16"/>
              </w:rPr>
              <w:t xml:space="preserve"> </w:t>
            </w:r>
            <w:r>
              <w:rPr>
                <w:rFonts w:ascii="Arial;Helvetica;sans-serif" w:hAnsi="Arial;Helvetica;sans-serif"/>
                <w:sz w:val="17"/>
              </w:rPr>
              <w:t>shares issued and outstanding as of December 31,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23</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22</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162,851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163,940</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Retained earnings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60,962</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54,940</w:t>
            </w:r>
          </w:p>
        </w:tc>
      </w:tr>
      <w:tr>
        <w:trPr/>
        <w:tc>
          <w:tcPr>
            <w:tcW w:w="7533" w:type="dxa"/>
            <w:tcBorders/>
            <w:shd w:fill="CCEEFF" w:val="clear"/>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223,836</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218,902</w:t>
            </w:r>
          </w:p>
        </w:tc>
      </w:tr>
      <w:tr>
        <w:trPr/>
        <w:tc>
          <w:tcPr>
            <w:tcW w:w="7533" w:type="dxa"/>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7"/>
              </w:rPr>
            </w:pPr>
            <w:r>
              <w:rPr>
                <w:rFonts w:ascii="Arial;Helvetica;sans-serif" w:hAnsi="Arial;Helvetica;sans-serif"/>
                <w:sz w:val="17"/>
              </w:rPr>
              <w:t>279,668</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78"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7"/>
              </w:rPr>
            </w:pPr>
            <w:r>
              <w:rPr>
                <w:rFonts w:ascii="Arial;Helvetica;sans-serif" w:hAnsi="Arial;Helvetica;sans-serif"/>
                <w:sz w:val="17"/>
              </w:rPr>
              <w:t>273,942</w:t>
            </w:r>
          </w:p>
        </w:tc>
      </w:tr>
    </w:tbl>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hanging="0"/>
        <w:jc w:val="both"/>
        <w:rPr/>
      </w:pPr>
      <w:r>
        <w:rPr/>
        <w:t>​</w:t>
      </w:r>
    </w:p>
    <w:p>
      <w:pPr>
        <w:pStyle w:val="TextBody"/>
        <w:pBdr/>
        <w:shd w:fill="FFFFFF" w:val="clear"/>
        <w:bidi w:val="0"/>
        <w:spacing w:before="0" w:after="0"/>
        <w:ind w:left="0" w:right="0" w:hanging="0"/>
        <w:jc w:val="both"/>
        <w:rPr>
          <w:rFonts w:ascii="Arial;Helvetica;sans-serif" w:hAnsi="Arial;Helvetica;sans-serif"/>
          <w:sz w:val="16"/>
        </w:rPr>
      </w:pPr>
      <w:r>
        <w:rPr>
          <w:rFonts w:ascii="Arial;Helvetica;sans-serif" w:hAnsi="Arial;Helvetica;sans-serif"/>
          <w:sz w:val="16"/>
        </w:rPr>
        <w:t>The accompanying notes are an integral part of these unaudited condensed consolidated financial statements.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shd w:fill="FFFFFF" w:val="clear"/>
        <w:bidi w:val="0"/>
        <w:spacing w:before="0" w:after="0"/>
        <w:ind w:left="0" w:right="0" w:hanging="0"/>
        <w:jc w:val="left"/>
        <w:rPr/>
      </w:pPr>
      <w:bookmarkStart w:id="175" w:name="_a5f70379_a038_45e1_8ed7_8658f93f9b6c"/>
      <w:bookmarkEnd w:id="175"/>
      <w:r>
        <w:rPr/>
        <w:t>​</w:t>
      </w:r>
    </w:p>
    <w:p>
      <w:pPr>
        <w:pStyle w:val="Normal"/>
        <w:bidi w:val="0"/>
        <w:spacing w:before="0" w:after="0"/>
        <w:jc w:val="left"/>
        <w:rPr>
          <w:sz w:val="4"/>
          <w:szCs w:val="4"/>
        </w:rPr>
      </w:pPr>
      <w:r>
        <w:rPr>
          <w:sz w:val="4"/>
          <w:szCs w:val="4"/>
        </w:rPr>
      </w:r>
      <w:bookmarkStart w:id="176" w:name="Tc_7p4yPlThjkaXDrwEpoYWqQ_39_0"/>
      <w:bookmarkStart w:id="177" w:name="Tc_54ni2n0GqEq4WnE2oTf8DQ_38_0"/>
      <w:bookmarkStart w:id="178" w:name="Tc_-65RhqweN0GqMuYZu3V9wQ_37_0"/>
      <w:bookmarkStart w:id="179" w:name="Tc_Ti6XTnM2xEu8tJokkxsDuA_36_11"/>
      <w:bookmarkStart w:id="180" w:name="Tc_DOGS8h33UEyWpKLjcUXTkw_36_8"/>
      <w:bookmarkStart w:id="181" w:name="Tc_MwsD_XtaKkizYYBnMLplgg_36_5"/>
      <w:bookmarkStart w:id="182" w:name="Tc_pCkr1OC6mUaqzRwUMBsTJg_36_2"/>
      <w:bookmarkStart w:id="183" w:name="Tc_QMs3yF-1uke6jyWLRzscYA_36_0"/>
      <w:bookmarkStart w:id="184" w:name="Tc_79xvBCaDqU2qqbGcn7em-A_35_11"/>
      <w:bookmarkStart w:id="185" w:name="Tc_5eLaKmy5ZUWcwszff9Q3Lg_35_8"/>
      <w:bookmarkStart w:id="186" w:name="Tc_odMqHaAPukup9ghQevZgIw_35_5"/>
      <w:bookmarkStart w:id="187" w:name="Tc_hjKwZFX5kk2IFDF63ruNpw_35_2"/>
      <w:bookmarkStart w:id="188" w:name="Tc_m95mziWEI06EQVQt0mAxSg_35_0"/>
      <w:bookmarkStart w:id="189" w:name="Tc_mr7-DUcQPEisVqOiEpNxvg_34_0"/>
      <w:bookmarkStart w:id="190" w:name="Tc_nYj2dJabJEeMH52VCT2B4w_33_11"/>
      <w:bookmarkStart w:id="191" w:name="Tc_GP59Og3VHE27yxUClWQYvg_33_8"/>
      <w:bookmarkStart w:id="192" w:name="Tc_O4l35GCMEkG1HDIOtJuQKw_33_5"/>
      <w:bookmarkStart w:id="193" w:name="Tc_Lczw8c9_O0WoSnKsP8At5g_33_2"/>
      <w:bookmarkStart w:id="194" w:name="Tc_QlC1C2FonkK2D3qo_qXK9g_33_0"/>
      <w:bookmarkStart w:id="195" w:name="Tc_kcJ_0t6cIkuOp69PngIGNw_32_0"/>
      <w:bookmarkStart w:id="196" w:name="Tc_vYnIfVq4B02dSHt6KOFC9w_31_0"/>
      <w:bookmarkStart w:id="197" w:name="Tc_PxRJFzxg00ui3s8v9l-olA_30_9"/>
      <w:bookmarkStart w:id="198" w:name="Tc_mnJS506p8Uqc461_M_u8aw_30_3"/>
      <w:bookmarkStart w:id="199" w:name="Tc_JafMuU8DDkOjycLlds9zCA_30_0"/>
      <w:bookmarkStart w:id="200" w:name="Tc_qEPt61NyQk-ZjaGFR39ATg_29_0"/>
      <w:bookmarkStart w:id="201" w:name="Tc_Axdckmp-rUWgsKgkKcntAQ_28_0"/>
      <w:bookmarkStart w:id="202" w:name="Tc_WUwcQTlG10u-rri1qHmaoA_27_0"/>
      <w:bookmarkStart w:id="203" w:name="Tc_v14F-BDo2UmocMLlI0-n7A_26_0"/>
      <w:bookmarkStart w:id="204" w:name="Tc_UhwImHxyrEugJWSg5coJ8g_25_0"/>
      <w:bookmarkStart w:id="205" w:name="Tc_R8xxJPG6f0yOy_V14zjlWQ_24_0"/>
      <w:bookmarkStart w:id="206" w:name="Tc_W39OAiSnBEOh_EF8bw0Geg_23_0"/>
      <w:bookmarkStart w:id="207" w:name="Tc_9EjRIFVs-UCNAtDym9_gTQ_22_0"/>
      <w:bookmarkStart w:id="208" w:name="Tc_HNzB6c3gtUal6njCYWP9sQ_21_0"/>
      <w:bookmarkStart w:id="209" w:name="Tc_ye5aUWGZq0WAU_gcYy_GSA_20_0"/>
      <w:bookmarkStart w:id="210" w:name="Tc_FaVRWHmbwEuOF_u2hn52pw_19_0"/>
      <w:bookmarkStart w:id="211" w:name="Tc_XryWNwZ5IU69-mMXAM3KeA_18_0"/>
      <w:bookmarkStart w:id="212" w:name="Tc_sK2D823yA0OAm7QmG14gxQ_17_0"/>
      <w:bookmarkStart w:id="213" w:name="Tc_tUOS6hXurE6IMm9upp-6MQ_16_0"/>
      <w:bookmarkStart w:id="214" w:name="Tc_VHTMrwY-d0u6QMuySNB-hQ_15_0"/>
      <w:bookmarkStart w:id="215" w:name="Tc_3TLWMlbuM0Sa0zsUpOst5g_14_0"/>
      <w:bookmarkStart w:id="216" w:name="Tc_REe7UXd-p0G9G8YgQOhvtQ_13_0"/>
      <w:bookmarkStart w:id="217" w:name="Tc_UYR8Kzt9FkWV-zygTxmibg_12_0"/>
      <w:bookmarkStart w:id="218" w:name="Tc_nhnmX5HvXEiHqT7UWy33yw_11_0"/>
      <w:bookmarkStart w:id="219" w:name="Tc_gM3iqMUM-Eyb114sy8A1IQ_10_11"/>
      <w:bookmarkStart w:id="220" w:name="Tc_OrJHqxpSV0uk0WU10_uRmw_10_8"/>
      <w:bookmarkStart w:id="221" w:name="Tc_JtRDaK3A7E-_Hj9N2wTMDQ_10_5"/>
      <w:bookmarkStart w:id="222" w:name="Tc_6w-M_Ep2_0eFCOdXzw3kmw_10_2"/>
      <w:bookmarkStart w:id="223" w:name="Tc_wfNgP6iwOUSGjk3DASZOyA_10_0"/>
      <w:bookmarkStart w:id="224" w:name="Tc_e0yKywrQuECgkuxs3FK7mw_9_0"/>
      <w:bookmarkStart w:id="225" w:name="Tc_Ofl4TzZ3MEiHleWBLoQshQ_8_11"/>
      <w:bookmarkStart w:id="226" w:name="Tc_L21AzQjjSEqftjONllJVuQ_8_8"/>
      <w:bookmarkStart w:id="227" w:name="Tc_4UuZ4IV6skes5qnucdEbcg_8_5"/>
      <w:bookmarkStart w:id="228" w:name="Tc_Wx6yY9sSfk-Xb5cwswpsVw_8_2"/>
      <w:bookmarkStart w:id="229" w:name="Tc_IsJ9O2P4jEeYWCPV1ZbIsw_8_0"/>
      <w:bookmarkStart w:id="230" w:name="Tc_aeHtcQIc6Uq0HBoMg3vV8Q_7_8"/>
      <w:bookmarkStart w:id="231" w:name="Tc_decqVMDtdEWwMY4SRNnd-A_7_2"/>
      <w:bookmarkStart w:id="232" w:name="Tc__ixMlO9Og02MjX-7UhK3aw_6_8"/>
      <w:bookmarkStart w:id="233" w:name="Tc_xs8R9HEHqkykeTzePF7jWQ_6_2"/>
      <w:bookmarkStart w:id="234" w:name="Tc_YUeTrPwGx0m400YUr1nOcg_3_0"/>
      <w:bookmarkStart w:id="235" w:name="Tc_yHqlMzh1z0Cavp6SflNXdg_2_0"/>
      <w:bookmarkStart w:id="236" w:name="Tc_m1aAghPuGk2KggT5b3htwA_1_0"/>
      <w:bookmarkStart w:id="237" w:name="_cf714e49_d184_4032_b652_2e45a663f6b6"/>
      <w:bookmarkStart w:id="238" w:name="Tc_7p4yPlThjkaXDrwEpoYWqQ_39_0"/>
      <w:bookmarkStart w:id="239" w:name="Tc_54ni2n0GqEq4WnE2oTf8DQ_38_0"/>
      <w:bookmarkStart w:id="240" w:name="Tc_-65RhqweN0GqMuYZu3V9wQ_37_0"/>
      <w:bookmarkStart w:id="241" w:name="Tc_Ti6XTnM2xEu8tJokkxsDuA_36_11"/>
      <w:bookmarkStart w:id="242" w:name="Tc_DOGS8h33UEyWpKLjcUXTkw_36_8"/>
      <w:bookmarkStart w:id="243" w:name="Tc_MwsD_XtaKkizYYBnMLplgg_36_5"/>
      <w:bookmarkStart w:id="244" w:name="Tc_pCkr1OC6mUaqzRwUMBsTJg_36_2"/>
      <w:bookmarkStart w:id="245" w:name="Tc_QMs3yF-1uke6jyWLRzscYA_36_0"/>
      <w:bookmarkStart w:id="246" w:name="Tc_79xvBCaDqU2qqbGcn7em-A_35_11"/>
      <w:bookmarkStart w:id="247" w:name="Tc_5eLaKmy5ZUWcwszff9Q3Lg_35_8"/>
      <w:bookmarkStart w:id="248" w:name="Tc_odMqHaAPukup9ghQevZgIw_35_5"/>
      <w:bookmarkStart w:id="249" w:name="Tc_hjKwZFX5kk2IFDF63ruNpw_35_2"/>
      <w:bookmarkStart w:id="250" w:name="Tc_m95mziWEI06EQVQt0mAxSg_35_0"/>
      <w:bookmarkStart w:id="251" w:name="Tc_mr7-DUcQPEisVqOiEpNxvg_34_0"/>
      <w:bookmarkStart w:id="252" w:name="Tc_nYj2dJabJEeMH52VCT2B4w_33_11"/>
      <w:bookmarkStart w:id="253" w:name="Tc_GP59Og3VHE27yxUClWQYvg_33_8"/>
      <w:bookmarkStart w:id="254" w:name="Tc_O4l35GCMEkG1HDIOtJuQKw_33_5"/>
      <w:bookmarkStart w:id="255" w:name="Tc_Lczw8c9_O0WoSnKsP8At5g_33_2"/>
      <w:bookmarkStart w:id="256" w:name="Tc_QlC1C2FonkK2D3qo_qXK9g_33_0"/>
      <w:bookmarkStart w:id="257" w:name="Tc_kcJ_0t6cIkuOp69PngIGNw_32_0"/>
      <w:bookmarkStart w:id="258" w:name="Tc_vYnIfVq4B02dSHt6KOFC9w_31_0"/>
      <w:bookmarkStart w:id="259" w:name="Tc_PxRJFzxg00ui3s8v9l-olA_30_9"/>
      <w:bookmarkStart w:id="260" w:name="Tc_mnJS506p8Uqc461_M_u8aw_30_3"/>
      <w:bookmarkStart w:id="261" w:name="Tc_JafMuU8DDkOjycLlds9zCA_30_0"/>
      <w:bookmarkStart w:id="262" w:name="Tc_qEPt61NyQk-ZjaGFR39ATg_29_0"/>
      <w:bookmarkStart w:id="263" w:name="Tc_Axdckmp-rUWgsKgkKcntAQ_28_0"/>
      <w:bookmarkStart w:id="264" w:name="Tc_WUwcQTlG10u-rri1qHmaoA_27_0"/>
      <w:bookmarkStart w:id="265" w:name="Tc_v14F-BDo2UmocMLlI0-n7A_26_0"/>
      <w:bookmarkStart w:id="266" w:name="Tc_UhwImHxyrEugJWSg5coJ8g_25_0"/>
      <w:bookmarkStart w:id="267" w:name="Tc_R8xxJPG6f0yOy_V14zjlWQ_24_0"/>
      <w:bookmarkStart w:id="268" w:name="Tc_W39OAiSnBEOh_EF8bw0Geg_23_0"/>
      <w:bookmarkStart w:id="269" w:name="Tc_9EjRIFVs-UCNAtDym9_gTQ_22_0"/>
      <w:bookmarkStart w:id="270" w:name="Tc_HNzB6c3gtUal6njCYWP9sQ_21_0"/>
      <w:bookmarkStart w:id="271" w:name="Tc_ye5aUWGZq0WAU_gcYy_GSA_20_0"/>
      <w:bookmarkStart w:id="272" w:name="Tc_FaVRWHmbwEuOF_u2hn52pw_19_0"/>
      <w:bookmarkStart w:id="273" w:name="Tc_XryWNwZ5IU69-mMXAM3KeA_18_0"/>
      <w:bookmarkStart w:id="274" w:name="Tc_sK2D823yA0OAm7QmG14gxQ_17_0"/>
      <w:bookmarkStart w:id="275" w:name="Tc_tUOS6hXurE6IMm9upp-6MQ_16_0"/>
      <w:bookmarkStart w:id="276" w:name="Tc_VHTMrwY-d0u6QMuySNB-hQ_15_0"/>
      <w:bookmarkStart w:id="277" w:name="Tc_3TLWMlbuM0Sa0zsUpOst5g_14_0"/>
      <w:bookmarkStart w:id="278" w:name="Tc_REe7UXd-p0G9G8YgQOhvtQ_13_0"/>
      <w:bookmarkStart w:id="279" w:name="Tc_UYR8Kzt9FkWV-zygTxmibg_12_0"/>
      <w:bookmarkStart w:id="280" w:name="Tc_nhnmX5HvXEiHqT7UWy33yw_11_0"/>
      <w:bookmarkStart w:id="281" w:name="Tc_gM3iqMUM-Eyb114sy8A1IQ_10_11"/>
      <w:bookmarkStart w:id="282" w:name="Tc_OrJHqxpSV0uk0WU10_uRmw_10_8"/>
      <w:bookmarkStart w:id="283" w:name="Tc_JtRDaK3A7E-_Hj9N2wTMDQ_10_5"/>
      <w:bookmarkStart w:id="284" w:name="Tc_6w-M_Ep2_0eFCOdXzw3kmw_10_2"/>
      <w:bookmarkStart w:id="285" w:name="Tc_wfNgP6iwOUSGjk3DASZOyA_10_0"/>
      <w:bookmarkStart w:id="286" w:name="Tc_e0yKywrQuECgkuxs3FK7mw_9_0"/>
      <w:bookmarkStart w:id="287" w:name="Tc_Ofl4TzZ3MEiHleWBLoQshQ_8_11"/>
      <w:bookmarkStart w:id="288" w:name="Tc_L21AzQjjSEqftjONllJVuQ_8_8"/>
      <w:bookmarkStart w:id="289" w:name="Tc_4UuZ4IV6skes5qnucdEbcg_8_5"/>
      <w:bookmarkStart w:id="290" w:name="Tc_Wx6yY9sSfk-Xb5cwswpsVw_8_2"/>
      <w:bookmarkStart w:id="291" w:name="Tc_IsJ9O2P4jEeYWCPV1ZbIsw_8_0"/>
      <w:bookmarkStart w:id="292" w:name="Tc_aeHtcQIc6Uq0HBoMg3vV8Q_7_8"/>
      <w:bookmarkStart w:id="293" w:name="Tc_decqVMDtdEWwMY4SRNnd-A_7_2"/>
      <w:bookmarkStart w:id="294" w:name="Tc__ixMlO9Og02MjX-7UhK3aw_6_8"/>
      <w:bookmarkStart w:id="295" w:name="Tc_xs8R9HEHqkykeTzePF7jWQ_6_2"/>
      <w:bookmarkStart w:id="296" w:name="Tc_YUeTrPwGx0m400YUr1nOcg_3_0"/>
      <w:bookmarkStart w:id="297" w:name="Tc_yHqlMzh1z0Cavp6SflNXdg_2_0"/>
      <w:bookmarkStart w:id="298" w:name="Tc_m1aAghPuGk2KggT5b3htwA_1_0"/>
      <w:bookmarkStart w:id="299" w:name="_cf714e49_d184_4032_b652_2e45a663f6b6"/>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tbl>
      <w:tblPr>
        <w:tblW w:w="10205" w:type="dxa"/>
        <w:jc w:val="left"/>
        <w:tblInd w:w="0" w:type="dxa"/>
        <w:tblLayout w:type="fixed"/>
        <w:tblCellMar>
          <w:top w:w="0" w:type="dxa"/>
          <w:left w:w="0" w:type="dxa"/>
          <w:bottom w:w="0" w:type="dxa"/>
          <w:right w:w="0" w:type="dxa"/>
        </w:tblCellMar>
      </w:tblPr>
      <w:tblGrid>
        <w:gridCol w:w="3728"/>
        <w:gridCol w:w="346"/>
        <w:gridCol w:w="211"/>
        <w:gridCol w:w="1036"/>
        <w:gridCol w:w="346"/>
        <w:gridCol w:w="211"/>
        <w:gridCol w:w="1036"/>
        <w:gridCol w:w="346"/>
        <w:gridCol w:w="211"/>
        <w:gridCol w:w="1036"/>
        <w:gridCol w:w="346"/>
        <w:gridCol w:w="211"/>
        <w:gridCol w:w="1141"/>
      </w:tblGrid>
      <w:tr>
        <w:trPr/>
        <w:tc>
          <w:tcPr>
            <w:tcW w:w="3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367280" cy="175260"/>
                      <wp:effectExtent l="0" t="0" r="0" b="0"/>
                      <wp:wrapNone/>
                      <wp:docPr id="11" name="Frame11"/>
                      <a:graphic xmlns:a="http://schemas.openxmlformats.org/drawingml/2006/main">
                        <a:graphicData uri="http://schemas.microsoft.com/office/word/2010/wordprocessingShape">
                          <wps:wsp>
                            <wps:cNvSpPr txBox="1"/>
                            <wps:spPr>
                              <a:xfrm>
                                <a:off x="0" y="0"/>
                                <a:ext cx="2367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20"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24535" cy="175260"/>
                      <wp:effectExtent l="0" t="0" r="0" b="0"/>
                      <wp:wrapNone/>
                      <wp:docPr id="23"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Tactile Systems Technology, Inc.</w:t>
            </w:r>
          </w:p>
        </w:tc>
      </w:tr>
      <w:tr>
        <w:trPr/>
        <w:tc>
          <w:tcPr>
            <w:tcW w:w="10205" w:type="dxa"/>
            <w:gridSpan w:val="1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Condensed Consolidated Statements of Operations</w:t>
            </w:r>
          </w:p>
        </w:tc>
      </w:tr>
      <w:tr>
        <w:trPr/>
        <w:tc>
          <w:tcPr>
            <w:tcW w:w="10205" w:type="dxa"/>
            <w:gridSpan w:val="13"/>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(Unaudited)</w:t>
            </w:r>
          </w:p>
        </w:tc>
      </w:tr>
      <w:tr>
        <w:trPr/>
        <w:tc>
          <w:tcPr>
            <w:tcW w:w="37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37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r>
      <w:tr>
        <w:trPr/>
        <w:tc>
          <w:tcPr>
            <w:tcW w:w="37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4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Three Months Ended</w:t>
            </w:r>
          </w:p>
        </w:tc>
        <w:tc>
          <w:tcPr>
            <w:tcW w:w="346" w:type="dxa"/>
            <w:tcBorders/>
            <w:vAlign w:val="center"/>
          </w:tcPr>
          <w:p>
            <w:pPr>
              <w:pStyle w:val="TableContents"/>
              <w:bidi w:val="0"/>
              <w:spacing w:before="0" w:after="0"/>
              <w:ind w:left="0" w:right="0" w:hanging="0"/>
              <w:jc w:val="left"/>
              <w:rPr/>
            </w:pPr>
            <w:r>
              <w:rPr/>
              <w:t>​</w:t>
            </w:r>
          </w:p>
        </w:tc>
        <w:tc>
          <w:tcPr>
            <w:tcW w:w="294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Six Months Ended </w:t>
            </w:r>
          </w:p>
        </w:tc>
      </w:tr>
      <w:tr>
        <w:trPr/>
        <w:tc>
          <w:tcPr>
            <w:tcW w:w="37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30,</w:t>
            </w:r>
          </w:p>
        </w:tc>
        <w:tc>
          <w:tcPr>
            <w:tcW w:w="346" w:type="dxa"/>
            <w:tcBorders/>
            <w:vAlign w:val="center"/>
          </w:tcPr>
          <w:p>
            <w:pPr>
              <w:pStyle w:val="TableContents"/>
              <w:bidi w:val="0"/>
              <w:spacing w:before="0" w:after="0"/>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30,</w:t>
            </w:r>
          </w:p>
        </w:tc>
      </w:tr>
      <w:tr>
        <w:trPr/>
        <w:tc>
          <w:tcPr>
            <w:tcW w:w="3728"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 thousands, except share and per share data)</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Sales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76,489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70,531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143,455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123,000</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Rental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17,173</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85,698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78,905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160,965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140,173</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17,483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32,887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31,374</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rental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4,660</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20,349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20,112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38,002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36,034</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Gross profit - sales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58,861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53,048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110,568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91,626</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Gross profit - rental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12,395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12,513</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65,349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58,793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122,963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104,139</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Sales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32,012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30,039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64,744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57,555</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3,759</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Reimbursement,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23,360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46,404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42,032</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amortization and earn-out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1,252</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58,523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54,710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117,671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104,598</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(459)</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1,745</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(834)</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453</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(benefit)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243</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 xml:space="preserve">0.34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 xml:space="preserve">0.14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 xml:space="preserve">0.27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 xml:space="preserve">0.01 </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 xml:space="preserve">0.34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 xml:space="preserve">0.14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 xml:space="preserve">0.26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 xml:space="preserve">0.01 </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Weighted-average common shares used to compute net income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372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22,676,673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23,092,469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22,620,546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23,399,848</w:t>
            </w:r>
          </w:p>
        </w:tc>
      </w:tr>
      <w:tr>
        <w:trPr/>
        <w:tc>
          <w:tcPr>
            <w:tcW w:w="37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23,058,902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23,237,671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23,135,040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23,679,220</w:t>
            </w:r>
          </w:p>
        </w:tc>
      </w:tr>
    </w:tbl>
    <w:p>
      <w:pPr>
        <w:pStyle w:val="TextBody"/>
        <w:bidi w:val="0"/>
        <w:spacing w:before="0" w:after="120"/>
        <w:ind w:left="0" w:right="0" w:hanging="0"/>
        <w:jc w:val="left"/>
        <w:rPr/>
      </w:pPr>
      <w:r>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shd w:fill="FFFFFF" w:val="clear"/>
        <w:bidi w:val="0"/>
        <w:spacing w:before="0" w:after="0"/>
        <w:ind w:left="0" w:right="0" w:hanging="0"/>
        <w:jc w:val="both"/>
        <w:rPr/>
      </w:pPr>
      <w:bookmarkStart w:id="300" w:name="_e2815268_0b91_4bbd_93ac_3e73029bd712"/>
      <w:bookmarkEnd w:id="300"/>
      <w:r>
        <w:rPr/>
        <w:t>​</w:t>
      </w:r>
    </w:p>
    <w:p>
      <w:pPr>
        <w:pStyle w:val="Normal"/>
        <w:bidi w:val="0"/>
        <w:spacing w:before="0" w:after="0"/>
        <w:jc w:val="left"/>
        <w:rPr>
          <w:sz w:val="4"/>
          <w:szCs w:val="4"/>
        </w:rPr>
      </w:pPr>
      <w:r>
        <w:rPr>
          <w:sz w:val="4"/>
          <w:szCs w:val="4"/>
        </w:rPr>
      </w:r>
      <w:bookmarkStart w:id="301" w:name="Tc_e6WR5-bCAkefbC8TdEioYA_40_13"/>
      <w:bookmarkStart w:id="302" w:name="Tc_Hv4kExKwkkO1iSIUVpQVhg_40_10"/>
      <w:bookmarkStart w:id="303" w:name="Tc_q_0KXZqhzk6suKspJrB39A_40_7"/>
      <w:bookmarkStart w:id="304" w:name="Tc_dxqOOQsvDU6mSW00ihvjTg_40_4"/>
      <w:bookmarkStart w:id="305" w:name="Tc_i6_Ut9Jyi0WElvlEsVfC2Q_40_0"/>
      <w:bookmarkStart w:id="306" w:name="Tc_v6n_sojXCEm6eeGTaXf51g_39_8"/>
      <w:bookmarkStart w:id="307" w:name="Tc_YdsJdYjES0aHM2KBJc6FZg_39_5"/>
      <w:bookmarkStart w:id="308" w:name="Tc_5A7SukftzE2U15n-jQXvPw_39_2"/>
      <w:bookmarkStart w:id="309" w:name="Tc_t_eU7v2EWUWqegLGc41LGQ_39_0"/>
      <w:bookmarkStart w:id="310" w:name="Tc_R-b3FtANK0Or6aejtlOADg_38_11"/>
      <w:bookmarkStart w:id="311" w:name="Tc_AFlqLQv_hU6bP_zyax8jIw_38_5"/>
      <w:bookmarkStart w:id="312" w:name="Tc_jKRO_9InyEO7LRJkpF6ZMQ_38_0"/>
      <w:bookmarkStart w:id="313" w:name="Tc_z6OdLrZA90ajq83qV1pBCQ_37_11"/>
      <w:bookmarkStart w:id="314" w:name="Tc_nId47Fnrv0eWzu7WmZUDQA_37_0"/>
      <w:bookmarkStart w:id="315" w:name="Tc_kF6vXNKhj0CQ5_GsVHOagw_36_11"/>
      <w:bookmarkStart w:id="316" w:name="Tc_eTtCxi3EX0-B6_eCSSrgkA_36_5"/>
      <w:bookmarkStart w:id="317" w:name="Tc_nGdv6cLd3kKav6CCvHaSHw_36_0"/>
      <w:bookmarkStart w:id="318" w:name="Tc_LUGRi2yuv0e52_0CC9eviA_35_11"/>
      <w:bookmarkStart w:id="319" w:name="Tc_tftH3Bhr3EGwAREuKgybsw_35_5"/>
      <w:bookmarkStart w:id="320" w:name="Tc_pEChS0g6KUSXj7Ot-4xXwQ_35_2"/>
      <w:bookmarkStart w:id="321" w:name="Tc_a6jYRAU5M0GFU7ggvRzVbA_35_0"/>
      <w:bookmarkStart w:id="322" w:name="Tc_ck5GwctOmUuwOkPoswnP5g_34_13"/>
      <w:bookmarkStart w:id="323" w:name="Tc_WTZKZ1F_v0aihNZEjCVNig_34_10"/>
      <w:bookmarkStart w:id="324" w:name="Tc_xtHY-e2kT0mC7BIarJe_4w_34_7"/>
      <w:bookmarkStart w:id="325" w:name="Tc_wPvGUIeZm0uF7t3V3wFZKQ_34_4"/>
      <w:bookmarkStart w:id="326" w:name="Tc_QHFhV3NM4UC1NA1xFjjC1A_34_0"/>
      <w:bookmarkStart w:id="327" w:name="Tc_jYJ2k_r7jE2WyujHUlWnVg_32_13"/>
      <w:bookmarkStart w:id="328" w:name="Tc_drnbD_12OEG0Zy4AIVfVmA_32_10"/>
      <w:bookmarkStart w:id="329" w:name="Tc_fCeHnIycaE2GdbBspFYTjw_32_7"/>
      <w:bookmarkStart w:id="330" w:name="Tc_ujnfUUOdiE--qAUjoIM8rQ_32_4"/>
      <w:bookmarkStart w:id="331" w:name="Tc_DBuqHA47qEi6HXPo_awTDg_32_0"/>
      <w:bookmarkStart w:id="332" w:name="Tc_JzI-KoYvckOxtTGKiQ7syA_31_8"/>
      <w:bookmarkStart w:id="333" w:name="Tc_K6J2qxUhh0qgvXlUO1TqSA_31_5"/>
      <w:bookmarkStart w:id="334" w:name="Tc_zDwmMmL3lE2z7wn6xfyGCQ_31_2"/>
      <w:bookmarkStart w:id="335" w:name="Tc_GSgr4oes0UGYQIpx1SI5xg_31_0"/>
      <w:bookmarkStart w:id="336" w:name="Tc_mAqUzIclrUCGlfn3exURyw_30_11"/>
      <w:bookmarkStart w:id="337" w:name="Tc_gR9OBQFWmUqWoi6-hXfyFw_30_5"/>
      <w:bookmarkStart w:id="338" w:name="Tc_L97ebKhvFEGo_3FYHLMTWQ_30_0"/>
      <w:bookmarkStart w:id="339" w:name="Tc_UB2FltcqD0eg5AuSfBUhvA_29_11"/>
      <w:bookmarkStart w:id="340" w:name="Tc_Eznrpj4AKU2lCMEcto_lUA_29_0"/>
      <w:bookmarkStart w:id="341" w:name="Tc_vUWexYDXCEaD9J6tn8Dp5w_28_14"/>
      <w:bookmarkStart w:id="342" w:name="Tc_t2343CLAnUCmztJySqxtmg_28_11"/>
      <w:bookmarkStart w:id="343" w:name="Tc_pnYnNHPvSUq7mJwmOFh6Xg_28_8"/>
      <w:bookmarkStart w:id="344" w:name="Tc_R_jeYnX2Ykeftq1FXapmUQ_28_5"/>
      <w:bookmarkStart w:id="345" w:name="Tc_7ZwQI04kskeqCWz_idUJwA_28_0"/>
      <w:bookmarkStart w:id="346" w:name="Tc_6YDkIb0aBUmqxWpQWj2hBQ_27_11"/>
      <w:bookmarkStart w:id="347" w:name="Tc_R2n1yOg_U0-BLAoxbmPwDA_27_5"/>
      <w:bookmarkStart w:id="348" w:name="Tc_dw8Io_3fvU-zJ0vecZKL6A_27_2"/>
      <w:bookmarkStart w:id="349" w:name="Tc_JLrwIEPwE0eFvXvTMfVAAg_27_0"/>
      <w:bookmarkStart w:id="350" w:name="Tc_62M0y2pI1ka0iwsxPCyC4g_26_13"/>
      <w:bookmarkStart w:id="351" w:name="Tc_iFi8lNO4eE-WA7YiUNe2JA_26_10"/>
      <w:bookmarkStart w:id="352" w:name="Tc_4EVuyo3w3EaRyFRs658jkg_26_7"/>
      <w:bookmarkStart w:id="353" w:name="Tc_Zbgovy75tku1kIYVBIbB-w_26_4"/>
      <w:bookmarkStart w:id="354" w:name="Tc_oUamFZucNkurTmu8hwhyrw_26_0"/>
      <w:bookmarkStart w:id="355" w:name="Tc_QQZ6n4IiZ0KLzSpSmM3wJQ_24_13"/>
      <w:bookmarkStart w:id="356" w:name="Tc_aAyUarGTo0iwZvtt6p8WAw_24_10"/>
      <w:bookmarkStart w:id="357" w:name="Tc_p5DjtjANqEa4pqbOiuotiA_24_7"/>
      <w:bookmarkStart w:id="358" w:name="Tc_zn9K6WPc2UOCJLWtNB1gLA_24_4"/>
      <w:bookmarkStart w:id="359" w:name="Tc_jwADbY77Q0OHJTIegJm5_A_24_0"/>
      <w:bookmarkStart w:id="360" w:name="Tc_egB38UwyXUG-vkIGDlUOYw_23_8"/>
      <w:bookmarkStart w:id="361" w:name="Tc_Tq8uldYBjkOhqluf6tBwmA_23_5"/>
      <w:bookmarkStart w:id="362" w:name="Tc_q41mFn71SkSek27GvrRliQ_23_2"/>
      <w:bookmarkStart w:id="363" w:name="Tc_JxtN2LqIWUCcBwWJlZsSQg_23_0"/>
      <w:bookmarkStart w:id="364" w:name="Tc_T-3r4lUQdEm3HGiglXeUXg_22_11"/>
      <w:bookmarkStart w:id="365" w:name="Tc_dMS3ffdlaEOjQCtkRCCjMg_22_5"/>
      <w:bookmarkStart w:id="366" w:name="Tc_XCLfGSlLskiFr-S2Snoj2w_22_0"/>
      <w:bookmarkStart w:id="367" w:name="Tc_jnlDBA6JxUOwl7_MpZIdkQ_21_11"/>
      <w:bookmarkStart w:id="368" w:name="Tc_JBh6CHQEOkWILI0_klMJMA_21_5"/>
      <w:bookmarkStart w:id="369" w:name="Tc_rpsdk0b92UyJOP-iAUCmTg_21_0"/>
      <w:bookmarkStart w:id="370" w:name="Tc_obdm-lc_tUeTk9G7DmuZTw_20_11"/>
      <w:bookmarkStart w:id="371" w:name="Tc_nz574zDSXkmvOedh6C3Jmg_20_0"/>
      <w:bookmarkStart w:id="372" w:name="Tc_g_Ym9IyMJk6_8hPkKhsRVA_19_11"/>
      <w:bookmarkStart w:id="373" w:name="Tc_7kfuqhfXak2xe0ZMQyWl-Q_19_5"/>
      <w:bookmarkStart w:id="374" w:name="Tc_ysMjUtYf5EOQoDRDnVulSQ_19_2"/>
      <w:bookmarkStart w:id="375" w:name="Tc_Yi9weZzRB0yninXKQGvSkQ_19_0"/>
      <w:bookmarkStart w:id="376" w:name="Tc_LxH7fZbsUEKS_w6KKi8EMA_18_13"/>
      <w:bookmarkStart w:id="377" w:name="Tc_1aCqyJbQvkCWZ-lr9gmxXw_18_10"/>
      <w:bookmarkStart w:id="378" w:name="Tc_JIEfTlp5vkWb4JEOkusV5Q_18_7"/>
      <w:bookmarkStart w:id="379" w:name="Tc_fXPXBdKyzkO3H79Diyzwag_18_4"/>
      <w:bookmarkStart w:id="380" w:name="Tc_E6FirxASq02EUX9yYagXRQ_18_0"/>
      <w:bookmarkStart w:id="381" w:name="Tc_XOkuElZrJkCTOFklNlVwWQ_16_13"/>
      <w:bookmarkStart w:id="382" w:name="Tc_98bV93Kk0Uetj9lcbBJYwg_16_10"/>
      <w:bookmarkStart w:id="383" w:name="Tc_SgkZ1OQ_R02XfXsbEohVBA_16_7"/>
      <w:bookmarkStart w:id="384" w:name="Tc_u0chkAl9EU2yUaoBmiLGKw_16_4"/>
      <w:bookmarkStart w:id="385" w:name="Tc_BJIIhv2sv0i-65phbhFERg_16_0"/>
      <w:bookmarkStart w:id="386" w:name="Tc_8DgxZOmGiEqnDwleUsL9MQ_15_8"/>
      <w:bookmarkStart w:id="387" w:name="Tc_RBVL0le0Z0mqKbSLDqqNVA_15_5"/>
      <w:bookmarkStart w:id="388" w:name="Tc_rVRK2eGA2U-K9Iurze2j4Q_15_2"/>
      <w:bookmarkStart w:id="389" w:name="Tc_B1J4RwSSaU2sPdxJ8eKrcA_15_0"/>
      <w:bookmarkStart w:id="390" w:name="Tc_5eQWA5cr0UidnLC3gBNLWg_14_11"/>
      <w:bookmarkStart w:id="391" w:name="Tc_XbFhzQ6UUkmbhNIcnzzrQg_14_5"/>
      <w:bookmarkStart w:id="392" w:name="Tc_SxWFicv0LUyVooNdP-s3FA_14_0"/>
      <w:bookmarkStart w:id="393" w:name="Tc_rDXNC2pA1ku2Pj502WZQFA_13_11"/>
      <w:bookmarkStart w:id="394" w:name="Tc_ZTAtXBUtsUqLqKZjaQ_rHQ_13_5"/>
      <w:bookmarkStart w:id="395" w:name="Tc_iz9WWGPgwU24SKIeMVOWpg_13_0"/>
      <w:bookmarkStart w:id="396" w:name="Tc_7k0dVPNjJkyl7cHAGoYDkg_12_11"/>
      <w:bookmarkStart w:id="397" w:name="Tc_sbvUV6jEAUGOkQwcG8kJsA_12_0"/>
      <w:bookmarkStart w:id="398" w:name="Tc_Y_IbQ8afukeACPEdf8No5A_11_11"/>
      <w:bookmarkStart w:id="399" w:name="Tc_KuQdusQkO0eVab_fq2Gcug_11_5"/>
      <w:bookmarkStart w:id="400" w:name="Tc_lnWSS7qfDE6BOGTScG3hHw_11_2"/>
      <w:bookmarkStart w:id="401" w:name="Tc_KiagHmxaIkiAQdWXS7djmw_11_0"/>
      <w:bookmarkStart w:id="402" w:name="Tc_CEh8p-fLKEWSubDJMECMBQ_10_13"/>
      <w:bookmarkStart w:id="403" w:name="Tc_yg-Vq1VBpEy8JvkaP6u4AQ_10_10"/>
      <w:bookmarkStart w:id="404" w:name="Tc_DX_-YoulLkWKpvmPZXaWdA_10_7"/>
      <w:bookmarkStart w:id="405" w:name="Tc_w-RJgE0vVU2_fVwIPX4_kA_10_4"/>
      <w:bookmarkStart w:id="406" w:name="Tc_d2YyECf-t0OthXNqJW5KoA_10_0"/>
      <w:bookmarkStart w:id="407" w:name="Tc_RaFVzizTn02y5d31Y9GHUw_9_13"/>
      <w:bookmarkStart w:id="408" w:name="Tc_GEzJLAO-6UC1_6Dov7pm2A_9_10"/>
      <w:bookmarkStart w:id="409" w:name="Tc_Il8PmTJHb0qswGqDYukLeg_9_7"/>
      <w:bookmarkStart w:id="410" w:name="Tc_hsyoROVCF020oGjqX__uqA_9_4"/>
      <w:bookmarkStart w:id="411" w:name="Tc_bfVIx26N00aN8ElemOAWMg_9_2"/>
      <w:bookmarkStart w:id="412" w:name="Tc_qw0LNBriaUqfQNz3UmhjIw_9_0"/>
      <w:bookmarkStart w:id="413" w:name="Tc_82Rv4NpnA0SGvZTbK_XnUg_8_10"/>
      <w:bookmarkStart w:id="414" w:name="Tc_D4PSfOClxUGhj43QgxtJ3g_8_7"/>
      <w:bookmarkStart w:id="415" w:name="Tc_ubzupUXatkKTwHuxg2IbHQ_8_2"/>
      <w:bookmarkStart w:id="416" w:name="Tc_BqKmMBqgzEyv02UIenoWKA_7_7"/>
      <w:bookmarkStart w:id="417" w:name="Tc_FDmd_f37UUmQ9MYX1jw_-Q_3_0"/>
      <w:bookmarkStart w:id="418" w:name="Tc_3iRHSFQUvE-CfaqRw3gI3A_2_0"/>
      <w:bookmarkStart w:id="419" w:name="Tc__jehtqiU0UmQ4jHwdS9RqA_1_0"/>
      <w:bookmarkStart w:id="420" w:name="_1abda04e_aafc_4edc_94fa_74d8d70bb55a"/>
      <w:bookmarkStart w:id="421" w:name="Tc_e6WR5-bCAkefbC8TdEioYA_40_13"/>
      <w:bookmarkStart w:id="422" w:name="Tc_Hv4kExKwkkO1iSIUVpQVhg_40_10"/>
      <w:bookmarkStart w:id="423" w:name="Tc_q_0KXZqhzk6suKspJrB39A_40_7"/>
      <w:bookmarkStart w:id="424" w:name="Tc_dxqOOQsvDU6mSW00ihvjTg_40_4"/>
      <w:bookmarkStart w:id="425" w:name="Tc_i6_Ut9Jyi0WElvlEsVfC2Q_40_0"/>
      <w:bookmarkStart w:id="426" w:name="Tc_v6n_sojXCEm6eeGTaXf51g_39_8"/>
      <w:bookmarkStart w:id="427" w:name="Tc_YdsJdYjES0aHM2KBJc6FZg_39_5"/>
      <w:bookmarkStart w:id="428" w:name="Tc_5A7SukftzE2U15n-jQXvPw_39_2"/>
      <w:bookmarkStart w:id="429" w:name="Tc_t_eU7v2EWUWqegLGc41LGQ_39_0"/>
      <w:bookmarkStart w:id="430" w:name="Tc_R-b3FtANK0Or6aejtlOADg_38_11"/>
      <w:bookmarkStart w:id="431" w:name="Tc_AFlqLQv_hU6bP_zyax8jIw_38_5"/>
      <w:bookmarkStart w:id="432" w:name="Tc_jKRO_9InyEO7LRJkpF6ZMQ_38_0"/>
      <w:bookmarkStart w:id="433" w:name="Tc_z6OdLrZA90ajq83qV1pBCQ_37_11"/>
      <w:bookmarkStart w:id="434" w:name="Tc_nId47Fnrv0eWzu7WmZUDQA_37_0"/>
      <w:bookmarkStart w:id="435" w:name="Tc_kF6vXNKhj0CQ5_GsVHOagw_36_11"/>
      <w:bookmarkStart w:id="436" w:name="Tc_eTtCxi3EX0-B6_eCSSrgkA_36_5"/>
      <w:bookmarkStart w:id="437" w:name="Tc_nGdv6cLd3kKav6CCvHaSHw_36_0"/>
      <w:bookmarkStart w:id="438" w:name="Tc_LUGRi2yuv0e52_0CC9eviA_35_11"/>
      <w:bookmarkStart w:id="439" w:name="Tc_tftH3Bhr3EGwAREuKgybsw_35_5"/>
      <w:bookmarkStart w:id="440" w:name="Tc_pEChS0g6KUSXj7Ot-4xXwQ_35_2"/>
      <w:bookmarkStart w:id="441" w:name="Tc_a6jYRAU5M0GFU7ggvRzVbA_35_0"/>
      <w:bookmarkStart w:id="442" w:name="Tc_ck5GwctOmUuwOkPoswnP5g_34_13"/>
      <w:bookmarkStart w:id="443" w:name="Tc_WTZKZ1F_v0aihNZEjCVNig_34_10"/>
      <w:bookmarkStart w:id="444" w:name="Tc_xtHY-e2kT0mC7BIarJe_4w_34_7"/>
      <w:bookmarkStart w:id="445" w:name="Tc_wPvGUIeZm0uF7t3V3wFZKQ_34_4"/>
      <w:bookmarkStart w:id="446" w:name="Tc_QHFhV3NM4UC1NA1xFjjC1A_34_0"/>
      <w:bookmarkStart w:id="447" w:name="Tc_jYJ2k_r7jE2WyujHUlWnVg_32_13"/>
      <w:bookmarkStart w:id="448" w:name="Tc_drnbD_12OEG0Zy4AIVfVmA_32_10"/>
      <w:bookmarkStart w:id="449" w:name="Tc_fCeHnIycaE2GdbBspFYTjw_32_7"/>
      <w:bookmarkStart w:id="450" w:name="Tc_ujnfUUOdiE--qAUjoIM8rQ_32_4"/>
      <w:bookmarkStart w:id="451" w:name="Tc_DBuqHA47qEi6HXPo_awTDg_32_0"/>
      <w:bookmarkStart w:id="452" w:name="Tc_JzI-KoYvckOxtTGKiQ7syA_31_8"/>
      <w:bookmarkStart w:id="453" w:name="Tc_K6J2qxUhh0qgvXlUO1TqSA_31_5"/>
      <w:bookmarkStart w:id="454" w:name="Tc_zDwmMmL3lE2z7wn6xfyGCQ_31_2"/>
      <w:bookmarkStart w:id="455" w:name="Tc_GSgr4oes0UGYQIpx1SI5xg_31_0"/>
      <w:bookmarkStart w:id="456" w:name="Tc_mAqUzIclrUCGlfn3exURyw_30_11"/>
      <w:bookmarkStart w:id="457" w:name="Tc_gR9OBQFWmUqWoi6-hXfyFw_30_5"/>
      <w:bookmarkStart w:id="458" w:name="Tc_L97ebKhvFEGo_3FYHLMTWQ_30_0"/>
      <w:bookmarkStart w:id="459" w:name="Tc_UB2FltcqD0eg5AuSfBUhvA_29_11"/>
      <w:bookmarkStart w:id="460" w:name="Tc_Eznrpj4AKU2lCMEcto_lUA_29_0"/>
      <w:bookmarkStart w:id="461" w:name="Tc_vUWexYDXCEaD9J6tn8Dp5w_28_14"/>
      <w:bookmarkStart w:id="462" w:name="Tc_t2343CLAnUCmztJySqxtmg_28_11"/>
      <w:bookmarkStart w:id="463" w:name="Tc_pnYnNHPvSUq7mJwmOFh6Xg_28_8"/>
      <w:bookmarkStart w:id="464" w:name="Tc_R_jeYnX2Ykeftq1FXapmUQ_28_5"/>
      <w:bookmarkStart w:id="465" w:name="Tc_7ZwQI04kskeqCWz_idUJwA_28_0"/>
      <w:bookmarkStart w:id="466" w:name="Tc_6YDkIb0aBUmqxWpQWj2hBQ_27_11"/>
      <w:bookmarkStart w:id="467" w:name="Tc_R2n1yOg_U0-BLAoxbmPwDA_27_5"/>
      <w:bookmarkStart w:id="468" w:name="Tc_dw8Io_3fvU-zJ0vecZKL6A_27_2"/>
      <w:bookmarkStart w:id="469" w:name="Tc_JLrwIEPwE0eFvXvTMfVAAg_27_0"/>
      <w:bookmarkStart w:id="470" w:name="Tc_62M0y2pI1ka0iwsxPCyC4g_26_13"/>
      <w:bookmarkStart w:id="471" w:name="Tc_iFi8lNO4eE-WA7YiUNe2JA_26_10"/>
      <w:bookmarkStart w:id="472" w:name="Tc_4EVuyo3w3EaRyFRs658jkg_26_7"/>
      <w:bookmarkStart w:id="473" w:name="Tc_Zbgovy75tku1kIYVBIbB-w_26_4"/>
      <w:bookmarkStart w:id="474" w:name="Tc_oUamFZucNkurTmu8hwhyrw_26_0"/>
      <w:bookmarkStart w:id="475" w:name="Tc_QQZ6n4IiZ0KLzSpSmM3wJQ_24_13"/>
      <w:bookmarkStart w:id="476" w:name="Tc_aAyUarGTo0iwZvtt6p8WAw_24_10"/>
      <w:bookmarkStart w:id="477" w:name="Tc_p5DjtjANqEa4pqbOiuotiA_24_7"/>
      <w:bookmarkStart w:id="478" w:name="Tc_zn9K6WPc2UOCJLWtNB1gLA_24_4"/>
      <w:bookmarkStart w:id="479" w:name="Tc_jwADbY77Q0OHJTIegJm5_A_24_0"/>
      <w:bookmarkStart w:id="480" w:name="Tc_egB38UwyXUG-vkIGDlUOYw_23_8"/>
      <w:bookmarkStart w:id="481" w:name="Tc_Tq8uldYBjkOhqluf6tBwmA_23_5"/>
      <w:bookmarkStart w:id="482" w:name="Tc_q41mFn71SkSek27GvrRliQ_23_2"/>
      <w:bookmarkStart w:id="483" w:name="Tc_JxtN2LqIWUCcBwWJlZsSQg_23_0"/>
      <w:bookmarkStart w:id="484" w:name="Tc_T-3r4lUQdEm3HGiglXeUXg_22_11"/>
      <w:bookmarkStart w:id="485" w:name="Tc_dMS3ffdlaEOjQCtkRCCjMg_22_5"/>
      <w:bookmarkStart w:id="486" w:name="Tc_XCLfGSlLskiFr-S2Snoj2w_22_0"/>
      <w:bookmarkStart w:id="487" w:name="Tc_jnlDBA6JxUOwl7_MpZIdkQ_21_11"/>
      <w:bookmarkStart w:id="488" w:name="Tc_JBh6CHQEOkWILI0_klMJMA_21_5"/>
      <w:bookmarkStart w:id="489" w:name="Tc_rpsdk0b92UyJOP-iAUCmTg_21_0"/>
      <w:bookmarkStart w:id="490" w:name="Tc_obdm-lc_tUeTk9G7DmuZTw_20_11"/>
      <w:bookmarkStart w:id="491" w:name="Tc_nz574zDSXkmvOedh6C3Jmg_20_0"/>
      <w:bookmarkStart w:id="492" w:name="Tc_g_Ym9IyMJk6_8hPkKhsRVA_19_11"/>
      <w:bookmarkStart w:id="493" w:name="Tc_7kfuqhfXak2xe0ZMQyWl-Q_19_5"/>
      <w:bookmarkStart w:id="494" w:name="Tc_ysMjUtYf5EOQoDRDnVulSQ_19_2"/>
      <w:bookmarkStart w:id="495" w:name="Tc_Yi9weZzRB0yninXKQGvSkQ_19_0"/>
      <w:bookmarkStart w:id="496" w:name="Tc_LxH7fZbsUEKS_w6KKi8EMA_18_13"/>
      <w:bookmarkStart w:id="497" w:name="Tc_1aCqyJbQvkCWZ-lr9gmxXw_18_10"/>
      <w:bookmarkStart w:id="498" w:name="Tc_JIEfTlp5vkWb4JEOkusV5Q_18_7"/>
      <w:bookmarkStart w:id="499" w:name="Tc_fXPXBdKyzkO3H79Diyzwag_18_4"/>
      <w:bookmarkStart w:id="500" w:name="Tc_E6FirxASq02EUX9yYagXRQ_18_0"/>
      <w:bookmarkStart w:id="501" w:name="Tc_XOkuElZrJkCTOFklNlVwWQ_16_13"/>
      <w:bookmarkStart w:id="502" w:name="Tc_98bV93Kk0Uetj9lcbBJYwg_16_10"/>
      <w:bookmarkStart w:id="503" w:name="Tc_SgkZ1OQ_R02XfXsbEohVBA_16_7"/>
      <w:bookmarkStart w:id="504" w:name="Tc_u0chkAl9EU2yUaoBmiLGKw_16_4"/>
      <w:bookmarkStart w:id="505" w:name="Tc_BJIIhv2sv0i-65phbhFERg_16_0"/>
      <w:bookmarkStart w:id="506" w:name="Tc_8DgxZOmGiEqnDwleUsL9MQ_15_8"/>
      <w:bookmarkStart w:id="507" w:name="Tc_RBVL0le0Z0mqKbSLDqqNVA_15_5"/>
      <w:bookmarkStart w:id="508" w:name="Tc_rVRK2eGA2U-K9Iurze2j4Q_15_2"/>
      <w:bookmarkStart w:id="509" w:name="Tc_B1J4RwSSaU2sPdxJ8eKrcA_15_0"/>
      <w:bookmarkStart w:id="510" w:name="Tc_5eQWA5cr0UidnLC3gBNLWg_14_11"/>
      <w:bookmarkStart w:id="511" w:name="Tc_XbFhzQ6UUkmbhNIcnzzrQg_14_5"/>
      <w:bookmarkStart w:id="512" w:name="Tc_SxWFicv0LUyVooNdP-s3FA_14_0"/>
      <w:bookmarkStart w:id="513" w:name="Tc_rDXNC2pA1ku2Pj502WZQFA_13_11"/>
      <w:bookmarkStart w:id="514" w:name="Tc_ZTAtXBUtsUqLqKZjaQ_rHQ_13_5"/>
      <w:bookmarkStart w:id="515" w:name="Tc_iz9WWGPgwU24SKIeMVOWpg_13_0"/>
      <w:bookmarkStart w:id="516" w:name="Tc_7k0dVPNjJkyl7cHAGoYDkg_12_11"/>
      <w:bookmarkStart w:id="517" w:name="Tc_sbvUV6jEAUGOkQwcG8kJsA_12_0"/>
      <w:bookmarkStart w:id="518" w:name="Tc_Y_IbQ8afukeACPEdf8No5A_11_11"/>
      <w:bookmarkStart w:id="519" w:name="Tc_KuQdusQkO0eVab_fq2Gcug_11_5"/>
      <w:bookmarkStart w:id="520" w:name="Tc_lnWSS7qfDE6BOGTScG3hHw_11_2"/>
      <w:bookmarkStart w:id="521" w:name="Tc_KiagHmxaIkiAQdWXS7djmw_11_0"/>
      <w:bookmarkStart w:id="522" w:name="Tc_CEh8p-fLKEWSubDJMECMBQ_10_13"/>
      <w:bookmarkStart w:id="523" w:name="Tc_yg-Vq1VBpEy8JvkaP6u4AQ_10_10"/>
      <w:bookmarkStart w:id="524" w:name="Tc_DX_-YoulLkWKpvmPZXaWdA_10_7"/>
      <w:bookmarkStart w:id="525" w:name="Tc_w-RJgE0vVU2_fVwIPX4_kA_10_4"/>
      <w:bookmarkStart w:id="526" w:name="Tc_d2YyECf-t0OthXNqJW5KoA_10_0"/>
      <w:bookmarkStart w:id="527" w:name="Tc_RaFVzizTn02y5d31Y9GHUw_9_13"/>
      <w:bookmarkStart w:id="528" w:name="Tc_GEzJLAO-6UC1_6Dov7pm2A_9_10"/>
      <w:bookmarkStart w:id="529" w:name="Tc_Il8PmTJHb0qswGqDYukLeg_9_7"/>
      <w:bookmarkStart w:id="530" w:name="Tc_hsyoROVCF020oGjqX__uqA_9_4"/>
      <w:bookmarkStart w:id="531" w:name="Tc_bfVIx26N00aN8ElemOAWMg_9_2"/>
      <w:bookmarkStart w:id="532" w:name="Tc_qw0LNBriaUqfQNz3UmhjIw_9_0"/>
      <w:bookmarkStart w:id="533" w:name="Tc_82Rv4NpnA0SGvZTbK_XnUg_8_10"/>
      <w:bookmarkStart w:id="534" w:name="Tc_D4PSfOClxUGhj43QgxtJ3g_8_7"/>
      <w:bookmarkStart w:id="535" w:name="Tc_ubzupUXatkKTwHuxg2IbHQ_8_2"/>
      <w:bookmarkStart w:id="536" w:name="Tc_BqKmMBqgzEyv02UIenoWKA_7_7"/>
      <w:bookmarkStart w:id="537" w:name="Tc_FDmd_f37UUmQ9MYX1jw_-Q_3_0"/>
      <w:bookmarkStart w:id="538" w:name="Tc_3iRHSFQUvE-CfaqRw3gI3A_2_0"/>
      <w:bookmarkStart w:id="539" w:name="Tc__jehtqiU0UmQ4jHwdS9RqA_1_0"/>
      <w:bookmarkStart w:id="540" w:name="_1abda04e_aafc_4edc_94fa_74d8d70bb55a"/>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tbl>
      <w:tblPr>
        <w:tblW w:w="10205" w:type="dxa"/>
        <w:jc w:val="left"/>
        <w:tblInd w:w="0" w:type="dxa"/>
        <w:tblLayout w:type="fixed"/>
        <w:tblCellMar>
          <w:top w:w="0" w:type="dxa"/>
          <w:left w:w="0" w:type="dxa"/>
          <w:bottom w:w="0" w:type="dxa"/>
          <w:right w:w="0" w:type="dxa"/>
        </w:tblCellMar>
      </w:tblPr>
      <w:tblGrid>
        <w:gridCol w:w="4963"/>
        <w:gridCol w:w="146"/>
        <w:gridCol w:w="936"/>
        <w:gridCol w:w="146"/>
        <w:gridCol w:w="304"/>
        <w:gridCol w:w="537"/>
        <w:gridCol w:w="146"/>
        <w:gridCol w:w="205"/>
        <w:gridCol w:w="726"/>
        <w:gridCol w:w="146"/>
        <w:gridCol w:w="199"/>
        <w:gridCol w:w="612"/>
        <w:gridCol w:w="146"/>
        <w:gridCol w:w="196"/>
        <w:gridCol w:w="797"/>
      </w:tblGrid>
      <w:tr>
        <w:trPr/>
        <w:tc>
          <w:tcPr>
            <w:tcW w:w="4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151505" cy="175260"/>
                      <wp:effectExtent l="0" t="0" r="0" b="0"/>
                      <wp:wrapNone/>
                      <wp:docPr id="24" name="Frame24"/>
                      <a:graphic xmlns:a="http://schemas.openxmlformats.org/drawingml/2006/main">
                        <a:graphicData uri="http://schemas.microsoft.com/office/word/2010/wordprocessingShape">
                          <wps:wsp>
                            <wps:cNvSpPr txBox="1"/>
                            <wps:spPr>
                              <a:xfrm>
                                <a:off x="0" y="0"/>
                                <a:ext cx="315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2710" cy="175260"/>
                      <wp:effectExtent l="0" t="0" r="0" b="0"/>
                      <wp:wrapNone/>
                      <wp:docPr id="25" name="Frame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4360" cy="175260"/>
                      <wp:effectExtent l="0" t="0" r="0" b="0"/>
                      <wp:wrapNone/>
                      <wp:docPr id="26" name="Frame26"/>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175260"/>
                      <wp:effectExtent l="0" t="0" r="0" b="0"/>
                      <wp:wrapNone/>
                      <wp:docPr id="27" name="Frame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93040" cy="175260"/>
                      <wp:effectExtent l="0" t="0" r="0" b="0"/>
                      <wp:wrapNone/>
                      <wp:docPr id="28" name="Frame2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40995" cy="175260"/>
                      <wp:effectExtent l="0" t="0" r="0" b="0"/>
                      <wp:wrapNone/>
                      <wp:docPr id="29" name="Frame29"/>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2710" cy="175260"/>
                      <wp:effectExtent l="0" t="0" r="0" b="0"/>
                      <wp:wrapNone/>
                      <wp:docPr id="30" name="Frame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0175" cy="175260"/>
                      <wp:effectExtent l="0" t="0" r="0" b="0"/>
                      <wp:wrapNone/>
                      <wp:docPr id="31" name="Frame31"/>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61010" cy="175260"/>
                      <wp:effectExtent l="0" t="0" r="0" b="0"/>
                      <wp:wrapNone/>
                      <wp:docPr id="32" name="Frame32"/>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2710" cy="175260"/>
                      <wp:effectExtent l="0" t="0" r="0" b="0"/>
                      <wp:wrapNone/>
                      <wp:docPr id="33" name="Frame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6365" cy="175260"/>
                      <wp:effectExtent l="0" t="0" r="0" b="0"/>
                      <wp:wrapNone/>
                      <wp:docPr id="34" name="Frame34"/>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88620" cy="175260"/>
                      <wp:effectExtent l="0" t="0" r="0" b="0"/>
                      <wp:wrapNone/>
                      <wp:docPr id="35" name="Frame35"/>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2710" cy="175260"/>
                      <wp:effectExtent l="0" t="0" r="0" b="0"/>
                      <wp:wrapNone/>
                      <wp:docPr id="36" name="Frame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06095" cy="175260"/>
                      <wp:effectExtent l="0" t="0" r="0" b="0"/>
                      <wp:wrapNone/>
                      <wp:docPr id="38" name="Frame38"/>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Tactile Systems Technology, Inc.</w:t>
            </w:r>
          </w:p>
        </w:tc>
      </w:tr>
      <w:tr>
        <w:trPr/>
        <w:tc>
          <w:tcPr>
            <w:tcW w:w="10205" w:type="dxa"/>
            <w:gridSpan w:val="1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Condensed Consolidated Statements of Stockholders’ Equity</w:t>
            </w:r>
          </w:p>
        </w:tc>
      </w:tr>
      <w:tr>
        <w:trPr/>
        <w:tc>
          <w:tcPr>
            <w:tcW w:w="10205" w:type="dxa"/>
            <w:gridSpan w:val="15"/>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(Unaudited)</w:t>
            </w:r>
          </w:p>
        </w:tc>
      </w:tr>
      <w:tr>
        <w:trPr/>
        <w:tc>
          <w:tcPr>
            <w:tcW w:w="496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96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96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923" w:type="dxa"/>
            <w:gridSpan w:val="4"/>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center"/>
              <w:rPr/>
            </w:pPr>
            <w:r>
              <w:rPr/>
              <w:t>​</w:t>
            </w:r>
          </w:p>
        </w:tc>
      </w:tr>
      <w:tr>
        <w:trPr/>
        <w:tc>
          <w:tcPr>
            <w:tcW w:w="496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93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1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center"/>
              <w:rPr/>
            </w:pPr>
            <w:r>
              <w:rPr/>
              <w:t>​</w:t>
            </w:r>
          </w:p>
        </w:tc>
      </w:tr>
      <w:tr>
        <w:trPr/>
        <w:tc>
          <w:tcPr>
            <w:tcW w:w="496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9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1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1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Retained</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963"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 except share data)</w:t>
            </w:r>
          </w:p>
        </w:tc>
        <w:tc>
          <w:tcPr>
            <w:tcW w:w="146" w:type="dxa"/>
            <w:tcBorders/>
            <w:vAlign w:val="center"/>
          </w:tcPr>
          <w:p>
            <w:pPr>
              <w:pStyle w:val="TableContents"/>
              <w:bidi w:val="0"/>
              <w:spacing w:before="0" w:after="0"/>
              <w:ind w:left="0" w:right="0" w:hanging="0"/>
              <w:jc w:val="center"/>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146" w:type="dxa"/>
            <w:tcBorders/>
            <w:vAlign w:val="center"/>
          </w:tcPr>
          <w:p>
            <w:pPr>
              <w:pStyle w:val="TableContents"/>
              <w:bidi w:val="0"/>
              <w:spacing w:before="0" w:after="0"/>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Par Value</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Earnings</w:t>
            </w:r>
          </w:p>
        </w:tc>
        <w:tc>
          <w:tcPr>
            <w:tcW w:w="146" w:type="dxa"/>
            <w:tcBorders/>
            <w:vAlign w:val="center"/>
          </w:tcPr>
          <w:p>
            <w:pPr>
              <w:pStyle w:val="TableContents"/>
              <w:bidi w:val="0"/>
              <w:spacing w:before="0" w:after="0"/>
              <w:ind w:left="0" w:right="0" w:hanging="0"/>
              <w:jc w:val="left"/>
              <w:rPr/>
            </w:pPr>
            <w:r>
              <w:rPr/>
              <w:t>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Balances, March 31, 2026</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22,710,160</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164,667</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53,177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217,866</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2,260</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2,260</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Exercise of common stock options and vesting of performance and restricted stock units</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146,587</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176</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Share repurchases</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(208,900)</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(5,284)</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(5,284)</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Common shares issued for employee stock purchase plan</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53,394</w:t>
            </w:r>
          </w:p>
        </w:tc>
        <w:tc>
          <w:tcPr>
            <w:tcW w:w="146"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w:t>
            </w:r>
          </w:p>
        </w:tc>
        <w:tc>
          <w:tcPr>
            <w:tcW w:w="1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for the period</w:t>
            </w:r>
          </w:p>
        </w:tc>
        <w:tc>
          <w:tcPr>
            <w:tcW w:w="146" w:type="dxa"/>
            <w:tcBorders/>
            <w:vAlign w:val="center"/>
          </w:tcPr>
          <w:p>
            <w:pPr>
              <w:pStyle w:val="TableContents"/>
              <w:bidi w:val="0"/>
              <w:spacing w:before="0" w:after="0"/>
              <w:ind w:left="0" w:right="0" w:hanging="0"/>
              <w:jc w:val="righ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7,785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7,785</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Balances, June 30, 2026</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22,701,241</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162,851</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60,962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223,836</w:t>
            </w:r>
          </w:p>
        </w:tc>
      </w:tr>
      <w:tr>
        <w:trPr/>
        <w:tc>
          <w:tcPr>
            <w:tcW w:w="496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Balances, December 31, 2025</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22,438,926</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163,940</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54,940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218,902</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4,040</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4,040</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Exercise of common stock options and vesting of performance and restricted stock units</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458,071</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196</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Share repurchases</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(249,150)</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(6,357)</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(6,357)</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Common shares issued for employee stock purchase plan</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53,394</w:t>
            </w:r>
          </w:p>
        </w:tc>
        <w:tc>
          <w:tcPr>
            <w:tcW w:w="146"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w:t>
            </w:r>
          </w:p>
        </w:tc>
        <w:tc>
          <w:tcPr>
            <w:tcW w:w="1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for the period</w:t>
            </w:r>
          </w:p>
        </w:tc>
        <w:tc>
          <w:tcPr>
            <w:tcW w:w="146" w:type="dxa"/>
            <w:tcBorders/>
            <w:vAlign w:val="center"/>
          </w:tcPr>
          <w:p>
            <w:pPr>
              <w:pStyle w:val="TableContents"/>
              <w:bidi w:val="0"/>
              <w:spacing w:before="0" w:after="0"/>
              <w:ind w:left="0" w:right="0" w:hanging="0"/>
              <w:jc w:val="righ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6,022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6,022</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Balances, June 30, 2026</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22,701,241</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162,851</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60,962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223,836</w:t>
            </w:r>
          </w:p>
        </w:tc>
      </w:tr>
      <w:tr>
        <w:trPr/>
        <w:tc>
          <w:tcPr>
            <w:tcW w:w="496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Balances, March 31, 2025</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23,584,471</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172,727</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32,880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205,631</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1,939</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1,939</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Exercise of common stock options and vesting of performance and restricted stock units</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112,411</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Share repurchases</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(1,507,496)</w:t>
            </w:r>
          </w:p>
        </w:tc>
        <w:tc>
          <w:tcPr>
            <w:tcW w:w="146" w:type="dxa"/>
            <w:tcBorders/>
            <w:vAlign w:val="center"/>
          </w:tcPr>
          <w:p>
            <w:pPr>
              <w:pStyle w:val="TableContents"/>
              <w:bidi w:val="0"/>
              <w:spacing w:before="0" w:after="0"/>
              <w:ind w:left="0" w:right="0" w:hanging="0"/>
              <w:jc w:val="righ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c>
          <w:tcPr>
            <w:tcW w:w="146" w:type="dxa"/>
            <w:tcBorders/>
            <w:vAlign w:val="center"/>
          </w:tcPr>
          <w:p>
            <w:pPr>
              <w:pStyle w:val="TableContents"/>
              <w:bidi w:val="0"/>
              <w:spacing w:before="0" w:after="0"/>
              <w:ind w:left="0" w:right="0" w:hanging="0"/>
              <w:jc w:val="righ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(16,702)</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(16,704)</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Common shares issued for employee stock purchase plan</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102,759</w:t>
            </w:r>
          </w:p>
        </w:tc>
        <w:tc>
          <w:tcPr>
            <w:tcW w:w="146"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843</w:t>
            </w:r>
          </w:p>
        </w:tc>
        <w:tc>
          <w:tcPr>
            <w:tcW w:w="1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843</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for the period</w:t>
            </w:r>
          </w:p>
        </w:tc>
        <w:tc>
          <w:tcPr>
            <w:tcW w:w="146" w:type="dxa"/>
            <w:tcBorders/>
            <w:vAlign w:val="center"/>
          </w:tcPr>
          <w:p>
            <w:pPr>
              <w:pStyle w:val="TableContents"/>
              <w:bidi w:val="0"/>
              <w:spacing w:before="0" w:after="0"/>
              <w:ind w:left="0" w:right="0" w:hanging="0"/>
              <w:jc w:val="righ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3,217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3,217</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Balances, June 30, 2025</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22,292,145</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158,807</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36,097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194,926</w:t>
            </w:r>
          </w:p>
        </w:tc>
      </w:tr>
      <w:tr>
        <w:trPr/>
        <w:tc>
          <w:tcPr>
            <w:tcW w:w="496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Balances, December 31, 2024</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23,883,475</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180,719</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35,854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216,597</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4,005</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4,005</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Exercise of common stock options and vesting of performance and restricted stock units</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449,010</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Share repurchases</w:t>
            </w:r>
          </w:p>
        </w:tc>
        <w:tc>
          <w:tcPr>
            <w:tcW w:w="146" w:type="dxa"/>
            <w:tcBorders/>
            <w:vAlign w:val="center"/>
          </w:tcPr>
          <w:p>
            <w:pPr>
              <w:pStyle w:val="TableContents"/>
              <w:bidi w:val="0"/>
              <w:spacing w:before="0" w:after="0"/>
              <w:ind w:left="0" w:right="0" w:hanging="0"/>
              <w:jc w:val="right"/>
              <w:rPr/>
            </w:pPr>
            <w:r>
              <w:rPr/>
              <w:t>​</w:t>
            </w:r>
          </w:p>
        </w:tc>
        <w:tc>
          <w:tcPr>
            <w:tcW w:w="93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(2,143,099)</w:t>
            </w:r>
          </w:p>
        </w:tc>
        <w:tc>
          <w:tcPr>
            <w:tcW w:w="1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c>
          <w:tcPr>
            <w:tcW w:w="14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(26,770)</w:t>
            </w:r>
          </w:p>
        </w:tc>
        <w:tc>
          <w:tcPr>
            <w:tcW w:w="1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(26,772)</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Common shares issued for employee stock purchase plan</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102,759</w:t>
            </w:r>
          </w:p>
        </w:tc>
        <w:tc>
          <w:tcPr>
            <w:tcW w:w="146" w:type="dxa"/>
            <w:tcBorders/>
            <w:shd w:fill="CCEEFF" w:val="clear"/>
            <w:vAlign w:val="center"/>
          </w:tcPr>
          <w:p>
            <w:pPr>
              <w:pStyle w:val="TableContents"/>
              <w:bidi w:val="0"/>
              <w:spacing w:before="0" w:after="0"/>
              <w:ind w:left="0" w:right="0" w:hanging="0"/>
              <w:jc w:val="righ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843</w:t>
            </w:r>
          </w:p>
        </w:tc>
        <w:tc>
          <w:tcPr>
            <w:tcW w:w="1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843</w:t>
            </w:r>
          </w:p>
        </w:tc>
      </w:tr>
      <w:tr>
        <w:trPr/>
        <w:tc>
          <w:tcPr>
            <w:tcW w:w="496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for the period</w:t>
            </w:r>
          </w:p>
        </w:tc>
        <w:tc>
          <w:tcPr>
            <w:tcW w:w="146" w:type="dxa"/>
            <w:tcBorders/>
            <w:vAlign w:val="center"/>
          </w:tcPr>
          <w:p>
            <w:pPr>
              <w:pStyle w:val="TableContents"/>
              <w:bidi w:val="0"/>
              <w:spacing w:before="0" w:after="0"/>
              <w:ind w:left="0" w:right="0" w:hanging="0"/>
              <w:jc w:val="righ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243</w:t>
            </w:r>
          </w:p>
        </w:tc>
      </w:tr>
      <w:tr>
        <w:trPr/>
        <w:tc>
          <w:tcPr>
            <w:tcW w:w="4963"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Balances, June 30, 2025</w:t>
            </w:r>
          </w:p>
        </w:tc>
        <w:tc>
          <w:tcPr>
            <w:tcW w:w="146" w:type="dxa"/>
            <w:tcBorders/>
            <w:shd w:fill="CCEEFF" w:val="clear"/>
            <w:vAlign w:val="center"/>
          </w:tcPr>
          <w:p>
            <w:pPr>
              <w:pStyle w:val="TableContents"/>
              <w:bidi w:val="0"/>
              <w:spacing w:before="0" w:after="0"/>
              <w:ind w:left="0" w:right="0" w:hanging="0"/>
              <w:jc w:val="righ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22,292,145</w:t>
            </w:r>
          </w:p>
        </w:tc>
        <w:tc>
          <w:tcPr>
            <w:tcW w:w="14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tc>
        <w:tc>
          <w:tcPr>
            <w:tcW w:w="146" w:type="dxa"/>
            <w:tcBorders/>
            <w:shd w:fill="CCEEFF" w:val="clear"/>
            <w:vAlign w:val="center"/>
          </w:tcPr>
          <w:p>
            <w:pPr>
              <w:pStyle w:val="TableContents"/>
              <w:bidi w:val="0"/>
              <w:spacing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158,807</w:t>
            </w:r>
          </w:p>
        </w:tc>
        <w:tc>
          <w:tcPr>
            <w:tcW w:w="146"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36,097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194,926</w:t>
            </w:r>
          </w:p>
        </w:tc>
      </w:tr>
    </w:tbl>
    <w:p>
      <w:pPr>
        <w:pStyle w:val="TextBody"/>
        <w:pBdr/>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Arial;Helvetica;sans-serif" w:hAnsi="Arial;Helvetica;sans-serif"/>
          <w:sz w:val="16"/>
        </w:rPr>
      </w:pPr>
      <w:r>
        <w:rPr>
          <w:rFonts w:ascii="Arial;Helvetica;sans-serif" w:hAnsi="Arial;Helvetica;sans-serif"/>
          <w:sz w:val="16"/>
        </w:rPr>
        <w:t>The accompanying notes are an integral part of these unaudited condensed consolidated financial statements.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shd w:fill="FFFFFF" w:val="clear"/>
        <w:bidi w:val="0"/>
        <w:spacing w:before="0" w:after="0"/>
        <w:ind w:left="0" w:right="0" w:hanging="0"/>
        <w:jc w:val="center"/>
        <w:rPr/>
      </w:pPr>
      <w:bookmarkStart w:id="541" w:name="_6920c35a_6654_435e_9ed6_7a6510ec168b"/>
      <w:bookmarkEnd w:id="541"/>
      <w:r>
        <w:rPr/>
        <w:t>​</w:t>
      </w:r>
    </w:p>
    <w:p>
      <w:pPr>
        <w:pStyle w:val="Normal"/>
        <w:bidi w:val="0"/>
        <w:spacing w:before="0" w:after="0"/>
        <w:jc w:val="left"/>
        <w:rPr>
          <w:sz w:val="4"/>
          <w:szCs w:val="4"/>
        </w:rPr>
      </w:pPr>
      <w:r>
        <w:rPr>
          <w:sz w:val="4"/>
          <w:szCs w:val="4"/>
        </w:rPr>
      </w:r>
      <w:bookmarkStart w:id="542" w:name="Tc_UrNVJ7E7mUSg24EFB2QbeA_45_5"/>
      <w:bookmarkStart w:id="543" w:name="Tc_CEgnnLQ8jEaxl9erODjOEA_45_2"/>
      <w:bookmarkStart w:id="544" w:name="Tc_CZ1RyLUt-UCn_dS5T8nj9Q_45_0"/>
      <w:bookmarkStart w:id="545" w:name="Tc_VbG7u53T0UaBBCJ8CgkJ9g_44_5"/>
      <w:bookmarkStart w:id="546" w:name="Tc_gOUdGPTGgEu4tkbvk_kTrQ_44_3"/>
      <w:bookmarkStart w:id="547" w:name="Tc_v3EjGO1t8Ueu5aNxLi_8yA_44_2"/>
      <w:bookmarkStart w:id="548" w:name="Tc_8Rn4-lW9SU6Y1L2mWFVQlA_44_0"/>
      <w:bookmarkStart w:id="549" w:name="Tc_frdqcDGP4EGUe73HfPuG1Q_43_5"/>
      <w:bookmarkStart w:id="550" w:name="Tc_wm5TP9JIeUa6nXXLUISMsQ_43_2"/>
      <w:bookmarkStart w:id="551" w:name="Tc_qVTX8jfpVkOpZU31vC-aeQ_43_0"/>
      <w:bookmarkStart w:id="552" w:name="Tc_v71z0FnhzU-BuW9q9fuFeQ_42_5"/>
      <w:bookmarkStart w:id="553" w:name="Tc_7FgAvsh9KE6AwEvhsyJHcA_42_2"/>
      <w:bookmarkStart w:id="554" w:name="Tc_4bl7GqvejkOZm-7zqswdFw_42_0"/>
      <w:bookmarkStart w:id="555" w:name="Tc_fpwdI1HPwk-h2wUrJjqPiQ_41_0"/>
      <w:bookmarkStart w:id="556" w:name="Tc_64spsfEyzEmzp4CI7Q_clA_39_5"/>
      <w:bookmarkStart w:id="557" w:name="Tc_g1BJJfu3I0-VeO5VWrVITw_39_2"/>
      <w:bookmarkStart w:id="558" w:name="Tc_W9BiLyqBKU2k0y1nM8AwfQ_39_0"/>
      <w:bookmarkStart w:id="559" w:name="Tc_mbMJx08yoUavnXY_f5ZCzw_38_0"/>
      <w:bookmarkStart w:id="560" w:name="Tc_wmTX0AF0gEWdFBuF9z5qQQ_37_0"/>
      <w:bookmarkStart w:id="561" w:name="Tc_XCA3GNNot0O42R6udXoOCg_36_0"/>
      <w:bookmarkStart w:id="562" w:name="Tc_B9BcbTtHP0eJO6x-2J8F3Q_35_0"/>
      <w:bookmarkStart w:id="563" w:name="Tc_ilGKwREO-UihPHhJheVObg_34_0"/>
      <w:bookmarkStart w:id="564" w:name="Tc_DK-9EqIPDU2dlMMzOX1XnA_33_0"/>
      <w:bookmarkStart w:id="565" w:name="Tc_0l0MFsnqIEOh0Q7qRYl8Dw_32_3"/>
      <w:bookmarkStart w:id="566" w:name="Tc_F47lCKKsfU2UY43_BgLpJA_32_0"/>
      <w:bookmarkStart w:id="567" w:name="Tc_lnAb9TSbWE6vaN93Xttz7g_31_0"/>
      <w:bookmarkStart w:id="568" w:name="Tc_aWAj248E40WfFIQaNZvrUw_30_0"/>
      <w:bookmarkStart w:id="569" w:name="Tc__EH3OaPM2UON5R4h3szdyw_29_6"/>
      <w:bookmarkStart w:id="570" w:name="Tc_55rVeQv7F0Gs8CwxxS4Gug_29_0"/>
      <w:bookmarkStart w:id="571" w:name="Tc_Go6BRnFsQ0qfH3lr_M5hFA_28_0"/>
      <w:bookmarkStart w:id="572" w:name="Tc_oFY8ByuDD0quUEBR_6CYXw_27_0"/>
      <w:bookmarkStart w:id="573" w:name="Tc_qUCrgfg5j02Fvl1d-4emRw_26_6"/>
      <w:bookmarkStart w:id="574" w:name="Tc_2qDGqKY3YEur2sw-xlhvlw_26_0"/>
      <w:bookmarkStart w:id="575" w:name="Tc_VLmQl3-p90Cy16YM-RE2bg_25_0"/>
      <w:bookmarkStart w:id="576" w:name="Tc_g4WLKCECVke9HYoLqAyXVA_24_0"/>
      <w:bookmarkStart w:id="577" w:name="Tc_iSPOOYGfCkivKmq3LnepDA_23_0"/>
      <w:bookmarkStart w:id="578" w:name="Tc_LJ8O_HtPtUWmgYv-sNjw0Q_22_0"/>
      <w:bookmarkStart w:id="579" w:name="Tc_wZf6DaRjQUKXocjarZs8RQ_21_0"/>
      <w:bookmarkStart w:id="580" w:name="Tc_tYRBgwJtEUCfKtmvF5L6IQ_20_0"/>
      <w:bookmarkStart w:id="581" w:name="Tc_eA-VNmabiU-HPePtM2L1pg_19_0"/>
      <w:bookmarkStart w:id="582" w:name="Tc_hjKjPiynQUyLIXWV52jOBA_18_0"/>
      <w:bookmarkStart w:id="583" w:name="Tc_3_I7T_wSP0a4LYLuqtNFaw_17_0"/>
      <w:bookmarkStart w:id="584" w:name="Tc_hPa07yAnJEe3t7vRaKzXBw_16_0"/>
      <w:bookmarkStart w:id="585" w:name="Tc_MUJRIeSCi0WFb4Hqw339FQ_15_0"/>
      <w:bookmarkStart w:id="586" w:name="Tc_pKp12R6VGUiDKbNC1DznMw_14_0"/>
      <w:bookmarkStart w:id="587" w:name="Tc_EiDtGEdmcUWopUJqKoWkrw_13_0"/>
      <w:bookmarkStart w:id="588" w:name="Tc_pl6rA9Np20uNK2Ac0-OuRQ_12_0"/>
      <w:bookmarkStart w:id="589" w:name="Tc_XFwcSBCd5EWf8V2Pv9strg_11_0"/>
      <w:bookmarkStart w:id="590" w:name="Tc_wyf5ZNRKc0u76hESBzzVFg_10_0"/>
      <w:bookmarkStart w:id="591" w:name="Tc_BLJYS_aKBEW_xF-Ca_VRpA_9_0"/>
      <w:bookmarkStart w:id="592" w:name="Tc_9usFsUPeckKIvaz7PCoKwA_8_5"/>
      <w:bookmarkStart w:id="593" w:name="Tc_9QmTI9IKbkqPrN_rTETX8Q_8_2"/>
      <w:bookmarkStart w:id="594" w:name="Tc_sf7SPNcEpUa7nUKiF_DP1Q_8_0"/>
      <w:bookmarkStart w:id="595" w:name="Tc_QG5PtJkOskSnXyK4mGnjGw_7_0"/>
      <w:bookmarkStart w:id="596" w:name="Tc_4AIxboEp30GmUKyRXg7c0Q_6_5"/>
      <w:bookmarkStart w:id="597" w:name="Tc_juRmrZSfp0-HMXm8_x3KGQ_6_2"/>
      <w:bookmarkStart w:id="598" w:name="Tc_90Oh6szQyk-JYE4HfJZ93A_6_0"/>
      <w:bookmarkStart w:id="599" w:name="Tc_N5bTZyovr0WmoGaliHIikg_5_2"/>
      <w:bookmarkStart w:id="600" w:name="Tc_R9yZLXHJQEGCIBmHtZ3Tnw_3_0"/>
      <w:bookmarkStart w:id="601" w:name="Tc_a6teHE5ABUSaBQkbzmNqCA_2_0"/>
      <w:bookmarkStart w:id="602" w:name="Tc_IkjEFh4B30y7Gczg557GoQ_1_0"/>
      <w:bookmarkStart w:id="603" w:name="_6340acf7_9fdf_42c5_81d0_8e8d70e903d6"/>
      <w:bookmarkStart w:id="604" w:name="Tc_UrNVJ7E7mUSg24EFB2QbeA_45_5"/>
      <w:bookmarkStart w:id="605" w:name="Tc_CEgnnLQ8jEaxl9erODjOEA_45_2"/>
      <w:bookmarkStart w:id="606" w:name="Tc_CZ1RyLUt-UCn_dS5T8nj9Q_45_0"/>
      <w:bookmarkStart w:id="607" w:name="Tc_VbG7u53T0UaBBCJ8CgkJ9g_44_5"/>
      <w:bookmarkStart w:id="608" w:name="Tc_gOUdGPTGgEu4tkbvk_kTrQ_44_3"/>
      <w:bookmarkStart w:id="609" w:name="Tc_v3EjGO1t8Ueu5aNxLi_8yA_44_2"/>
      <w:bookmarkStart w:id="610" w:name="Tc_8Rn4-lW9SU6Y1L2mWFVQlA_44_0"/>
      <w:bookmarkStart w:id="611" w:name="Tc_frdqcDGP4EGUe73HfPuG1Q_43_5"/>
      <w:bookmarkStart w:id="612" w:name="Tc_wm5TP9JIeUa6nXXLUISMsQ_43_2"/>
      <w:bookmarkStart w:id="613" w:name="Tc_qVTX8jfpVkOpZU31vC-aeQ_43_0"/>
      <w:bookmarkStart w:id="614" w:name="Tc_v71z0FnhzU-BuW9q9fuFeQ_42_5"/>
      <w:bookmarkStart w:id="615" w:name="Tc_7FgAvsh9KE6AwEvhsyJHcA_42_2"/>
      <w:bookmarkStart w:id="616" w:name="Tc_4bl7GqvejkOZm-7zqswdFw_42_0"/>
      <w:bookmarkStart w:id="617" w:name="Tc_fpwdI1HPwk-h2wUrJjqPiQ_41_0"/>
      <w:bookmarkStart w:id="618" w:name="Tc_64spsfEyzEmzp4CI7Q_clA_39_5"/>
      <w:bookmarkStart w:id="619" w:name="Tc_g1BJJfu3I0-VeO5VWrVITw_39_2"/>
      <w:bookmarkStart w:id="620" w:name="Tc_W9BiLyqBKU2k0y1nM8AwfQ_39_0"/>
      <w:bookmarkStart w:id="621" w:name="Tc_mbMJx08yoUavnXY_f5ZCzw_38_0"/>
      <w:bookmarkStart w:id="622" w:name="Tc_wmTX0AF0gEWdFBuF9z5qQQ_37_0"/>
      <w:bookmarkStart w:id="623" w:name="Tc_XCA3GNNot0O42R6udXoOCg_36_0"/>
      <w:bookmarkStart w:id="624" w:name="Tc_B9BcbTtHP0eJO6x-2J8F3Q_35_0"/>
      <w:bookmarkStart w:id="625" w:name="Tc_ilGKwREO-UihPHhJheVObg_34_0"/>
      <w:bookmarkStart w:id="626" w:name="Tc_DK-9EqIPDU2dlMMzOX1XnA_33_0"/>
      <w:bookmarkStart w:id="627" w:name="Tc_0l0MFsnqIEOh0Q7qRYl8Dw_32_3"/>
      <w:bookmarkStart w:id="628" w:name="Tc_F47lCKKsfU2UY43_BgLpJA_32_0"/>
      <w:bookmarkStart w:id="629" w:name="Tc_lnAb9TSbWE6vaN93Xttz7g_31_0"/>
      <w:bookmarkStart w:id="630" w:name="Tc_aWAj248E40WfFIQaNZvrUw_30_0"/>
      <w:bookmarkStart w:id="631" w:name="Tc__EH3OaPM2UON5R4h3szdyw_29_6"/>
      <w:bookmarkStart w:id="632" w:name="Tc_55rVeQv7F0Gs8CwxxS4Gug_29_0"/>
      <w:bookmarkStart w:id="633" w:name="Tc_Go6BRnFsQ0qfH3lr_M5hFA_28_0"/>
      <w:bookmarkStart w:id="634" w:name="Tc_oFY8ByuDD0quUEBR_6CYXw_27_0"/>
      <w:bookmarkStart w:id="635" w:name="Tc_qUCrgfg5j02Fvl1d-4emRw_26_6"/>
      <w:bookmarkStart w:id="636" w:name="Tc_2qDGqKY3YEur2sw-xlhvlw_26_0"/>
      <w:bookmarkStart w:id="637" w:name="Tc_VLmQl3-p90Cy16YM-RE2bg_25_0"/>
      <w:bookmarkStart w:id="638" w:name="Tc_g4WLKCECVke9HYoLqAyXVA_24_0"/>
      <w:bookmarkStart w:id="639" w:name="Tc_iSPOOYGfCkivKmq3LnepDA_23_0"/>
      <w:bookmarkStart w:id="640" w:name="Tc_LJ8O_HtPtUWmgYv-sNjw0Q_22_0"/>
      <w:bookmarkStart w:id="641" w:name="Tc_wZf6DaRjQUKXocjarZs8RQ_21_0"/>
      <w:bookmarkStart w:id="642" w:name="Tc_tYRBgwJtEUCfKtmvF5L6IQ_20_0"/>
      <w:bookmarkStart w:id="643" w:name="Tc_eA-VNmabiU-HPePtM2L1pg_19_0"/>
      <w:bookmarkStart w:id="644" w:name="Tc_hjKjPiynQUyLIXWV52jOBA_18_0"/>
      <w:bookmarkStart w:id="645" w:name="Tc_3_I7T_wSP0a4LYLuqtNFaw_17_0"/>
      <w:bookmarkStart w:id="646" w:name="Tc_hPa07yAnJEe3t7vRaKzXBw_16_0"/>
      <w:bookmarkStart w:id="647" w:name="Tc_MUJRIeSCi0WFb4Hqw339FQ_15_0"/>
      <w:bookmarkStart w:id="648" w:name="Tc_pKp12R6VGUiDKbNC1DznMw_14_0"/>
      <w:bookmarkStart w:id="649" w:name="Tc_EiDtGEdmcUWopUJqKoWkrw_13_0"/>
      <w:bookmarkStart w:id="650" w:name="Tc_pl6rA9Np20uNK2Ac0-OuRQ_12_0"/>
      <w:bookmarkStart w:id="651" w:name="Tc_XFwcSBCd5EWf8V2Pv9strg_11_0"/>
      <w:bookmarkStart w:id="652" w:name="Tc_wyf5ZNRKc0u76hESBzzVFg_10_0"/>
      <w:bookmarkStart w:id="653" w:name="Tc_BLJYS_aKBEW_xF-Ca_VRpA_9_0"/>
      <w:bookmarkStart w:id="654" w:name="Tc_9usFsUPeckKIvaz7PCoKwA_8_5"/>
      <w:bookmarkStart w:id="655" w:name="Tc_9QmTI9IKbkqPrN_rTETX8Q_8_2"/>
      <w:bookmarkStart w:id="656" w:name="Tc_sf7SPNcEpUa7nUKiF_DP1Q_8_0"/>
      <w:bookmarkStart w:id="657" w:name="Tc_QG5PtJkOskSnXyK4mGnjGw_7_0"/>
      <w:bookmarkStart w:id="658" w:name="Tc_4AIxboEp30GmUKyRXg7c0Q_6_5"/>
      <w:bookmarkStart w:id="659" w:name="Tc_juRmrZSfp0-HMXm8_x3KGQ_6_2"/>
      <w:bookmarkStart w:id="660" w:name="Tc_90Oh6szQyk-JYE4HfJZ93A_6_0"/>
      <w:bookmarkStart w:id="661" w:name="Tc_N5bTZyovr0WmoGaliHIikg_5_2"/>
      <w:bookmarkStart w:id="662" w:name="Tc_R9yZLXHJQEGCIBmHtZ3Tnw_3_0"/>
      <w:bookmarkStart w:id="663" w:name="Tc_a6teHE5ABUSaBQkbzmNqCA_2_0"/>
      <w:bookmarkStart w:id="664" w:name="Tc_IkjEFh4B30y7Gczg557GoQ_1_0"/>
      <w:bookmarkStart w:id="665" w:name="_6340acf7_9fdf_42c5_81d0_8e8d70e903d6"/>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tbl>
      <w:tblPr>
        <w:tblW w:w="9871" w:type="dxa"/>
        <w:jc w:val="left"/>
        <w:tblInd w:w="0" w:type="dxa"/>
        <w:tblLayout w:type="fixed"/>
        <w:tblCellMar>
          <w:top w:w="0" w:type="dxa"/>
          <w:left w:w="0" w:type="dxa"/>
          <w:bottom w:w="0" w:type="dxa"/>
          <w:right w:w="0" w:type="dxa"/>
        </w:tblCellMar>
      </w:tblPr>
      <w:tblGrid>
        <w:gridCol w:w="7036"/>
        <w:gridCol w:w="346"/>
        <w:gridCol w:w="218"/>
        <w:gridCol w:w="824"/>
        <w:gridCol w:w="358"/>
        <w:gridCol w:w="218"/>
        <w:gridCol w:w="871"/>
      </w:tblGrid>
      <w:tr>
        <w:trPr/>
        <w:tc>
          <w:tcPr>
            <w:tcW w:w="7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467860" cy="175260"/>
                      <wp:effectExtent l="0" t="0" r="0" b="0"/>
                      <wp:wrapNone/>
                      <wp:docPr id="39" name="Frame39"/>
                      <a:graphic xmlns:a="http://schemas.openxmlformats.org/drawingml/2006/main">
                        <a:graphicData uri="http://schemas.microsoft.com/office/word/2010/wordprocessingShape">
                          <wps:wsp>
                            <wps:cNvSpPr txBox="1"/>
                            <wps:spPr>
                              <a:xfrm>
                                <a:off x="0" y="0"/>
                                <a:ext cx="446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8430" cy="175260"/>
                      <wp:effectExtent l="0" t="0" r="0" b="0"/>
                      <wp:wrapNone/>
                      <wp:docPr id="41" name="Frame4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23240" cy="175260"/>
                      <wp:effectExtent l="0" t="0" r="0" b="0"/>
                      <wp:wrapNone/>
                      <wp:docPr id="42" name="Frame42"/>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7330" cy="175260"/>
                      <wp:effectExtent l="0" t="0" r="0" b="0"/>
                      <wp:wrapNone/>
                      <wp:docPr id="43" name="Frame43"/>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8430" cy="175260"/>
                      <wp:effectExtent l="0" t="0" r="0" b="0"/>
                      <wp:wrapNone/>
                      <wp:docPr id="44" name="Frame4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53085" cy="175260"/>
                      <wp:effectExtent l="0" t="0" r="0" b="0"/>
                      <wp:wrapNone/>
                      <wp:docPr id="45" name="Frame4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71" w:type="dxa"/>
            <w:gridSpan w:val="7"/>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Tactile Systems Technology, Inc.</w:t>
            </w:r>
          </w:p>
        </w:tc>
      </w:tr>
      <w:tr>
        <w:trPr/>
        <w:tc>
          <w:tcPr>
            <w:tcW w:w="9871" w:type="dxa"/>
            <w:gridSpan w:val="7"/>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Condensed Consolidated Statements of Cash Flows</w:t>
            </w:r>
          </w:p>
        </w:tc>
      </w:tr>
      <w:tr>
        <w:trPr/>
        <w:tc>
          <w:tcPr>
            <w:tcW w:w="9871" w:type="dxa"/>
            <w:gridSpan w:val="7"/>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(Unaudited)</w:t>
            </w:r>
          </w:p>
        </w:tc>
      </w:tr>
      <w:tr>
        <w:trPr/>
        <w:tc>
          <w:tcPr>
            <w:tcW w:w="7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89" w:type="dxa"/>
            <w:gridSpan w:val="5"/>
            <w:tcBorders/>
            <w:vAlign w:val="center"/>
          </w:tcPr>
          <w:p>
            <w:pPr>
              <w:pStyle w:val="TableContents"/>
              <w:bidi w:val="0"/>
              <w:spacing w:before="0" w:after="0"/>
              <w:ind w:left="0" w:right="0" w:hanging="0"/>
              <w:jc w:val="center"/>
              <w:rPr/>
            </w:pPr>
            <w:r>
              <w:rPr/>
              <w:t>​</w:t>
            </w:r>
          </w:p>
        </w:tc>
      </w:tr>
      <w:tr>
        <w:trPr/>
        <w:tc>
          <w:tcPr>
            <w:tcW w:w="7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Six Months Ended June 30, </w:t>
            </w:r>
          </w:p>
        </w:tc>
      </w:tr>
      <w:tr>
        <w:trPr/>
        <w:tc>
          <w:tcPr>
            <w:tcW w:w="70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0"/>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58" w:type="dxa"/>
            <w:tcBorders/>
            <w:vAlign w:val="center"/>
          </w:tcPr>
          <w:p>
            <w:pPr>
              <w:pStyle w:val="TableContents"/>
              <w:bidi w:val="0"/>
              <w:spacing w:before="0" w:after="0"/>
              <w:ind w:left="0" w:right="0" w:hanging="0"/>
              <w:jc w:val="left"/>
              <w:rPr/>
            </w:pPr>
            <w:r>
              <w:rPr/>
              <w:t>  ​ ​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6,022</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243</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color w:val="FF0000"/>
              </w:rPr>
            </w:pPr>
            <w:r>
              <w:rPr>
                <w:color w:val="FF0000"/>
              </w:rPr>
              <w:t>​</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3,450</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3,385</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4,040</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4,005</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Loss on disposal of property and equipment and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Changes in assets and liabilities, net of acquisition: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755</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11,851</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investment in leases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827</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(2,820)</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1,555</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taxes payable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(2,245)</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(611)</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(5,174)</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(4,735)</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Right of use operating lease assets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2,886</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2,319</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Accrued payroll and related taxes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(3,763)</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(5,245)</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(827)</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2,567</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2,915</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15,174</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Payments related to acquisition, net of cash acquired</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(6,226)</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(2,102)</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(748)</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assets expenditures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Payment for exclusive distribution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(3,000)</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(11,380)</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(804)</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Payments on note payable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(1,500)</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Proceeds from exercise of common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197</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Proceeds from the issuance of common stock from the employee stock purchase plan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1,032</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843</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Payments for repurchases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(6,357)</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(26,562)</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(5,128)</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(27,209)</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Net decrease in cash</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(13,593)</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(12,839)</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 beginning of period</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83,446</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94,367</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69,853</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81,528</w:t>
            </w:r>
          </w:p>
        </w:tc>
      </w:tr>
      <w:tr>
        <w:trPr/>
        <w:tc>
          <w:tcPr>
            <w:tcW w:w="7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Supplemental cash flow disclosure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paid for interest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828</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paid for taxes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2,645</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892</w:t>
            </w:r>
          </w:p>
        </w:tc>
      </w:tr>
      <w:tr>
        <w:trPr/>
        <w:tc>
          <w:tcPr>
            <w:tcW w:w="70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Accrued excise tax on stock repurchases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w:t>
            </w:r>
          </w:p>
        </w:tc>
      </w:tr>
      <w:tr>
        <w:trPr/>
        <w:tc>
          <w:tcPr>
            <w:tcW w:w="70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Capital expenditures incurred but not yet paid</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147</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58</w:t>
            </w:r>
          </w:p>
        </w:tc>
      </w:tr>
    </w:tbl>
    <w:p>
      <w:pPr>
        <w:pStyle w:val="TextBody"/>
        <w:pBdr/>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Arial;Helvetica;sans-serif" w:hAnsi="Arial;Helvetica;sans-serif"/>
          <w:sz w:val="16"/>
        </w:rPr>
      </w:pPr>
      <w:r>
        <w:rPr>
          <w:rFonts w:ascii="Arial;Helvetica;sans-serif" w:hAnsi="Arial;Helvetica;sans-serif"/>
          <w:sz w:val="16"/>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center"/>
        <w:rPr>
          <w:rFonts w:ascii="Arial;Helvetica;sans-serif" w:hAnsi="Arial;Helvetica;sans-serif"/>
          <w:b/>
          <w:sz w:val="20"/>
        </w:rPr>
      </w:pPr>
      <w:bookmarkStart w:id="666" w:name="_3d118a80_ab89_4666_939c_3b75224602c3"/>
      <w:bookmarkEnd w:id="666"/>
      <w:r>
        <w:rPr>
          <w:rFonts w:ascii="Arial;Helvetica;sans-serif" w:hAnsi="Arial;Helvetica;sans-serif"/>
          <w:b/>
          <w:sz w:val="20"/>
        </w:rPr>
        <w:t>Tactile Systems Technology, Inc.</w:t>
      </w:r>
    </w:p>
    <w:p>
      <w:pPr>
        <w:pStyle w:val="TextBody"/>
        <w:shd w:fill="FFFFFF" w:val="clear"/>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the Condensed Consolidated Financial Statements</w:t>
      </w:r>
    </w:p>
    <w:p>
      <w:pPr>
        <w:pStyle w:val="TextBody"/>
        <w:pBdr/>
        <w:shd w:fill="FFFFFF" w:val="clear"/>
        <w:bidi w:val="0"/>
        <w:spacing w:before="0" w:after="0"/>
        <w:ind w:left="0" w:right="0" w:hanging="0"/>
        <w:jc w:val="center"/>
        <w:rPr>
          <w:rFonts w:ascii="Arial;Helvetica;sans-serif" w:hAnsi="Arial;Helvetica;sans-serif"/>
          <w:sz w:val="16"/>
        </w:rPr>
      </w:pPr>
      <w:r>
        <w:rPr>
          <w:rFonts w:ascii="Arial;Helvetica;sans-serif" w:hAnsi="Arial;Helvetica;sans-serif"/>
          <w:sz w:val="16"/>
        </w:rPr>
        <w:t>(Unaudited)</w:t>
      </w:r>
    </w:p>
    <w:p>
      <w:pPr>
        <w:pStyle w:val="TextBody"/>
        <w:shd w:fill="FFFFFF" w:val="clear"/>
        <w:bidi w:val="0"/>
        <w:spacing w:before="0" w:after="240"/>
        <w:ind w:left="0" w:right="0" w:hanging="0"/>
        <w:jc w:val="both"/>
        <w:rPr>
          <w:rFonts w:ascii="Arial;Helvetica;sans-serif" w:hAnsi="Arial;Helvetica;sans-serif"/>
          <w:b/>
          <w:sz w:val="20"/>
        </w:rPr>
      </w:pPr>
      <w:r>
        <w:rPr>
          <w:rFonts w:ascii="Arial;Helvetica;sans-serif" w:hAnsi="Arial;Helvetica;sans-serif"/>
          <w:b/>
          <w:sz w:val="20"/>
        </w:rPr>
        <w:t>Note 1. Nature of Business and Operations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Tactile Systems Technology, Inc. (“we,” “us,” “our,” and the “Company”) manufactures and distributes medical devices for the treatment of patients with underserved chronic diseases in the home. Our lymphedema product portfolio includes the Flexitouch® Plus, Entre™ Plus, and Nimbl compression device systems, which help manage the symptoms of lymphedema, a chronic and progressive medical condition. We market these products through a direct sales force that engages healthcare providers involved in the diagnosis and treatment of lymphedema, including vascular specialists, vein and wound care clinicians, oncology providers, and certified lymphedema therapists throughout the United States. Our lymphedema products are prescribed for home use and are sold or rented to patients through commercial and government channels, including the Department of Veterans Affairs.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On September 8, 2021, we acquired the assets of the AffloVest airway clearance business (“AffloVest Acquisition”). AffloVest is a portable, wearable vest that treats patients with chronic respiratory conditions. We sell this device through home medical equipment and durable medical equipment (“DME”) providers throughout the United States.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On February 17, 2026, we acquired all outstanding equity interests of LymphaTech, Inc. (“LymphaTech”). LymphaTech is a medical technology company pioneering a digital, three-dimensional (the “3D”) full body measurement and monitoring platform designed specifically for lymphedema. </w:t>
      </w:r>
    </w:p>
    <w:p>
      <w:pPr>
        <w:pStyle w:val="TextBody"/>
        <w:bidi w:val="0"/>
        <w:spacing w:before="0" w:after="0"/>
        <w:ind w:left="0" w:right="0" w:firstLine="720"/>
        <w:jc w:val="left"/>
        <w:rPr>
          <w:rFonts w:ascii="Times New Roman;Times;serif" w:hAnsi="Times New Roman;Times;serif"/>
          <w:sz w:val="20"/>
        </w:rPr>
      </w:pPr>
      <w:r>
        <w:rPr>
          <w:rFonts w:ascii="Arial;Helvetica;sans-serif" w:hAnsi="Arial;Helvetica;sans-serif"/>
          <w:sz w:val="20"/>
        </w:rPr>
        <w:t>On April 24, 2026, we entered into a 3-year exclusive distribution agreement with ElastiMed, Inc. to bring MyoSleeve™, a discreet, wearable non-pneumatic compression device for the lower leg, to Department of Veterans Affairs (“VA”) and Department of Defense (“DoD”) patients across the United States. Under the agreement, we received exclusive rights to distribute MyoSleeve through the VA and DoD channels and limited non-exclusive distribution rights in the broader U.S. commercial market, subject to certain contractual conditions. In exchange for these rights, we made a $3.0</w:t>
      </w:r>
      <w:r>
        <w:rPr>
          <w:rFonts w:ascii="Times New Roman;Times;serif" w:hAnsi="Times New Roman;Times;serif"/>
          <w:sz w:val="20"/>
        </w:rPr>
        <w:t xml:space="preserve"> </w:t>
      </w:r>
      <w:r>
        <w:rPr>
          <w:rFonts w:ascii="Arial;Helvetica;sans-serif" w:hAnsi="Arial;Helvetica;sans-serif"/>
          <w:sz w:val="20"/>
        </w:rPr>
        <w:t>million upfront payment in the second quarter of 2026, which was recorded as an intangible asset and will be amortized on a straight-line basis beginning on the date the product is commercially available for sale, which is expected to be in the second half of 2026.</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were originally incorporated in Minnesota under the name Tactile Systems Technology, Inc. on January 30, 1995. During 2006, we established a merger corporation and subsequently, on July 21, 2006, merged with and into this merger corporation, resulting in our reincorporation as a Delaware corporation. The resulting corporation assumed the name Tactile Systems Technology, Inc. In September 2013, we began doing business as “Tactile Medical”.</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On August 2, 2016, we closed the initial public offering of our common stock, which resulted in the sale of 4,120,000</w:t>
      </w:r>
      <w:r>
        <w:rPr>
          <w:rFonts w:ascii="Times New Roman;Times;serif" w:hAnsi="Times New Roman;Times;serif"/>
          <w:sz w:val="20"/>
        </w:rPr>
        <w:t xml:space="preserve"> </w:t>
      </w:r>
      <w:r>
        <w:rPr>
          <w:rFonts w:ascii="Arial;Helvetica;sans-serif" w:hAnsi="Arial;Helvetica;sans-serif"/>
          <w:sz w:val="20"/>
        </w:rPr>
        <w:t>shares of our common stock at a public offering price of $10.00</w:t>
      </w:r>
      <w:r>
        <w:rPr>
          <w:rFonts w:ascii="Times New Roman;Times;serif" w:hAnsi="Times New Roman;Times;serif"/>
          <w:sz w:val="20"/>
        </w:rPr>
        <w:t xml:space="preserve"> </w:t>
      </w:r>
      <w:r>
        <w:rPr>
          <w:rFonts w:ascii="Arial;Helvetica;sans-serif" w:hAnsi="Arial;Helvetica;sans-serif"/>
          <w:sz w:val="20"/>
        </w:rPr>
        <w:t>per share. We received net proceeds from the initial public offering of approximately $35.4</w:t>
      </w:r>
      <w:r>
        <w:rPr>
          <w:rFonts w:ascii="Times New Roman;Times;serif" w:hAnsi="Times New Roman;Times;serif"/>
          <w:sz w:val="20"/>
        </w:rPr>
        <w:t xml:space="preserve"> </w:t>
      </w:r>
      <w:r>
        <w:rPr>
          <w:rFonts w:ascii="Arial;Helvetica;sans-serif" w:hAnsi="Arial;Helvetica;sans-serif"/>
          <w:sz w:val="20"/>
        </w:rPr>
        <w:t>million, after deducting underwriting discounts and approximately $2.9</w:t>
      </w:r>
      <w:r>
        <w:rPr>
          <w:rFonts w:ascii="Times New Roman;Times;serif" w:hAnsi="Times New Roman;Times;serif"/>
          <w:sz w:val="20"/>
        </w:rPr>
        <w:t xml:space="preserve"> </w:t>
      </w:r>
      <w:r>
        <w:rPr>
          <w:rFonts w:ascii="Arial;Helvetica;sans-serif" w:hAnsi="Arial;Helvetica;sans-serif"/>
          <w:sz w:val="20"/>
        </w:rPr>
        <w:t>million of transaction expenses.</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On February 27, 2023, we closed on a public offering of 2,875,000</w:t>
      </w:r>
      <w:r>
        <w:rPr>
          <w:rFonts w:ascii="Times New Roman;Times;serif" w:hAnsi="Times New Roman;Times;serif"/>
          <w:sz w:val="20"/>
        </w:rPr>
        <w:t xml:space="preserve"> </w:t>
      </w:r>
      <w:r>
        <w:rPr>
          <w:rFonts w:ascii="Arial;Helvetica;sans-serif" w:hAnsi="Arial;Helvetica;sans-serif"/>
          <w:sz w:val="20"/>
        </w:rPr>
        <w:t>shares of our common stock at a public offering price of $13.00</w:t>
      </w:r>
      <w:r>
        <w:rPr>
          <w:rFonts w:ascii="Times New Roman;Times;serif" w:hAnsi="Times New Roman;Times;serif"/>
          <w:sz w:val="20"/>
        </w:rPr>
        <w:t xml:space="preserve"> </w:t>
      </w:r>
      <w:r>
        <w:rPr>
          <w:rFonts w:ascii="Arial;Helvetica;sans-serif" w:hAnsi="Arial;Helvetica;sans-serif"/>
          <w:sz w:val="20"/>
        </w:rPr>
        <w:t>per share. We received net proceeds from this offering of $34.6</w:t>
      </w:r>
      <w:r>
        <w:rPr>
          <w:rFonts w:ascii="Times New Roman;Times;serif" w:hAnsi="Times New Roman;Times;serif"/>
          <w:sz w:val="20"/>
        </w:rPr>
        <w:t xml:space="preserve"> </w:t>
      </w:r>
      <w:r>
        <w:rPr>
          <w:rFonts w:ascii="Arial;Helvetica;sans-serif" w:hAnsi="Arial;Helvetica;sans-serif"/>
          <w:sz w:val="20"/>
        </w:rPr>
        <w:t>million after deducting underwriting discounts, commissions, and offering expenses.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Our business is affected by seasonality. In the first quarter of each year, when most patients have started a new insurance year and have not yet met their annual out-of-pocket payment obligations, we experience substantially reduced demand for our products. We typically experience higher revenue in the third and fourth quarters of the year when patients have met their annual insurance deductibles, thereby reducing their out-of-pocket costs for our products, and because patients desire to exhaust their flexible spending accounts at year end. This seasonality applies only to purchases and rentals of our products by patients covered by commercial insurance and is not relevant to Medicare, Medicaid or the Veterans Administration, as those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bidi w:val="0"/>
        <w:spacing w:before="0" w:after="0"/>
        <w:ind w:left="0" w:right="0" w:hanging="0"/>
        <w:jc w:val="both"/>
        <w:rPr>
          <w:rFonts w:ascii="Arial;Helvetica;sans-serif" w:hAnsi="Arial;Helvetica;sans-serif"/>
          <w:sz w:val="20"/>
        </w:rPr>
      </w:pPr>
      <w:r>
        <w:rPr>
          <w:rFonts w:ascii="Arial;Helvetica;sans-serif" w:hAnsi="Arial;Helvetica;sans-serif"/>
          <w:sz w:val="20"/>
        </w:rPr>
        <w:t>payers either do not have plans that have declining deductibles over the course of the plan year and/or do not have plans that include patient deductibles for purchases or rentals of our products.</w:t>
      </w:r>
    </w:p>
    <w:p>
      <w:pPr>
        <w:pStyle w:val="TextBody"/>
        <w:shd w:fill="FFFFFF" w:val="clear"/>
        <w:bidi w:val="0"/>
        <w:spacing w:before="0" w:after="240"/>
        <w:ind w:left="0" w:right="0" w:hanging="0"/>
        <w:jc w:val="both"/>
        <w:rPr>
          <w:rFonts w:ascii="Arial;Helvetica;sans-serif" w:hAnsi="Arial;Helvetica;sans-serif"/>
          <w:b/>
          <w:sz w:val="20"/>
        </w:rPr>
      </w:pPr>
      <w:r>
        <w:rPr>
          <w:rFonts w:ascii="Arial;Helvetica;sans-serif" w:hAnsi="Arial;Helvetica;sans-serif"/>
          <w:b/>
          <w:sz w:val="20"/>
        </w:rPr>
        <w:t>Note 2. Basis of Presentation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accompanying unaudited condensed consolidated financial statements have been prepared in accordance with accounting principles generally accepted in the United States (“GAAP”) for interim financial reporting and pursuant to the rules and regulations of the SEC.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results for the six months ended June 30, 2026, are not necessarily indicative of results to be expected for the year ending December 31, 2026, or for any other interim period or for any future year. The condensed consolidated interim financial statements should be read in conjunction with the audited financial statements and notes thereto included in our Annual Report on Form 10-K for the year ended December 31, 2025.</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Principles of Consolidation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accompanying unaudited condensed consolidated financial statements include the accounts of Tactile Systems Technology, Inc. and its wholly owned subsidiaries, Swelling Solutions, Inc. and LymphaTech, Inc. All intercompany balances and transactions have been eliminated in consolidation.</w:t>
      </w:r>
    </w:p>
    <w:p>
      <w:pPr>
        <w:pStyle w:val="TextBody"/>
        <w:bidi w:val="0"/>
        <w:spacing w:before="280" w:after="0"/>
        <w:ind w:left="0" w:right="0" w:hanging="0"/>
        <w:jc w:val="both"/>
        <w:rPr>
          <w:rFonts w:ascii="Arial;Helvetica;sans-serif" w:hAnsi="Arial;Helvetica;sans-serif"/>
          <w:b/>
          <w:i/>
          <w:sz w:val="20"/>
        </w:rPr>
      </w:pPr>
      <w:r>
        <w:rPr>
          <w:rFonts w:ascii="Arial;Helvetica;sans-serif" w:hAnsi="Arial;Helvetica;sans-serif"/>
          <w:b/>
          <w:i/>
          <w:sz w:val="20"/>
        </w:rPr>
        <w:t>Use of Estimates</w:t>
      </w:r>
    </w:p>
    <w:p>
      <w:pPr>
        <w:pStyle w:val="TextBody"/>
        <w:pBdr/>
        <w:bidi w:val="0"/>
        <w:spacing w:before="280" w:after="0"/>
        <w:ind w:left="0" w:right="0" w:firstLine="720"/>
        <w:jc w:val="both"/>
        <w:rPr>
          <w:rFonts w:ascii="Arial;Helvetica;sans-serif" w:hAnsi="Arial;Helvetica;sans-serif"/>
          <w:color w:val="2B2C2B"/>
          <w:sz w:val="20"/>
        </w:rPr>
      </w:pPr>
      <w:r>
        <w:rPr>
          <w:rFonts w:ascii="Arial;Helvetica;sans-serif" w:hAnsi="Arial;Helvetica;sans-serif"/>
          <w:color w:val="2B2C2B"/>
          <w:sz w:val="20"/>
        </w:rPr>
        <w:t>The preparation of financial statements in conformity with GAAP requires management to make estimates and assumptions that affect the reported amounts of assets and liabilities and to disclose contingent assets and liabilities at the date of the financial statements and the reported amounts of revenue and expenses during the reporting period. Actual results could differ from those estimates.</w:t>
      </w:r>
    </w:p>
    <w:p>
      <w:pPr>
        <w:pStyle w:val="TextBody"/>
        <w:shd w:fill="FFFFFF" w:val="clear"/>
        <w:bidi w:val="0"/>
        <w:spacing w:before="0" w:after="240"/>
        <w:ind w:left="0" w:right="0" w:hanging="0"/>
        <w:jc w:val="both"/>
        <w:rPr>
          <w:rFonts w:ascii="Arial;Helvetica;sans-serif" w:hAnsi="Arial;Helvetica;sans-serif"/>
          <w:b/>
          <w:sz w:val="20"/>
        </w:rPr>
      </w:pPr>
      <w:r>
        <w:rPr>
          <w:rFonts w:ascii="Arial;Helvetica;sans-serif" w:hAnsi="Arial;Helvetica;sans-serif"/>
          <w:b/>
          <w:sz w:val="20"/>
        </w:rPr>
        <w:t>Note 3. Summary of Significant Accounting Policies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Significant Accounting Policies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There were no material changes in our significant accounting policies during the six months ended June 30, 2026. See Note 3 – “Summary of Significant Accounting Policies” to the consolidated financial statements included in our Annual Report on Form 10-K for the year ended December 31, 2025, for information regarding our significant accounting policies. </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Business Segments  </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The Company operates as one</w:t>
      </w:r>
      <w:r>
        <w:rPr>
          <w:rFonts w:ascii="Times New Roman;Times;serif" w:hAnsi="Times New Roman;Times;serif"/>
          <w:sz w:val="20"/>
        </w:rPr>
        <w:t xml:space="preserve"> </w:t>
      </w:r>
      <w:r>
        <w:rPr>
          <w:rFonts w:ascii="Arial;Helvetica;sans-serif" w:hAnsi="Arial;Helvetica;sans-serif"/>
          <w:sz w:val="20"/>
        </w:rPr>
        <w:t>operating segment. The Company's Chief Operating Decision Maker (“CODM”) is its Chief Executive Officer, who reviews financial information presented on a consolidated basis. The CODM uses consolidated net income (loss) as the measure of segment profit or loss. Significant segment expenses are those expenses reported in the Consolidated Statement of Operations. The CODM assesses performance for the segment, allocates resources and monitors budget versus actual results using consolidated revenue and net income (loss) which is reflected in the Consolidated Statement of Operations.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Accounting Pronouncements Not Yet Adopted</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September 2025, the Financial Accounting Standards Board (“FASB”) issued Accounting Standards Update (“ASU”) No. 2025-06, “Intangibles – Goodwill and Other – Internal-Use Software (Subtopic 350-40): Targeted Improvements to the Accounting for Internal-Use Software” which modernizes the accounting for internal-use software costs to better align with the way that software is currently developed. The update removes all references to the project stages of software development and establishes two criteria that must be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met to begin capitalizing software costs. This update is effective for interim and annual periods beginning after December 15, 2027, with early adoption permitted. The Company is currently evaluating the effect that this standard will have on its consolidated financial statements and related disclosures.</w:t>
      </w:r>
    </w:p>
    <w:p>
      <w:pPr>
        <w:pStyle w:val="TextBody"/>
        <w:pBdr/>
        <w:bidi w:val="0"/>
        <w:spacing w:before="0" w:after="0"/>
        <w:ind w:left="0" w:right="0" w:firstLine="720"/>
        <w:jc w:val="both"/>
        <w:rPr>
          <w:rFonts w:ascii="Arial;Helvetica;sans-serif" w:hAnsi="Arial;Helvetica;sans-serif"/>
          <w:sz w:val="20"/>
        </w:rPr>
      </w:pPr>
      <w:r>
        <w:rPr>
          <w:rFonts w:ascii="Arial;Helvetica;sans-serif" w:hAnsi="Arial;Helvetica;sans-serif"/>
          <w:sz w:val="20"/>
        </w:rPr>
        <w:t>In November 2024, the FASB issued ASU No. 2024-03, “Income Statement – Reporting Comprehensive Income – Expense Disaggregation Disclosures (Subtopic 220-40): Disaggregation of Income Statement Expenses” which requires entities to disclose additional information about specific expense categories in the notes to financial statements on an annual and interim basis. The guidance is effective for annual periods beginning after December 15, 2026, and interim periods beginning after December 15, 2027, with early adoption permitted. The Company is currently evaluating the effect that this standard will have on its consolidated financial statements and related disclosures.</w:t>
      </w:r>
    </w:p>
    <w:p>
      <w:pPr>
        <w:pStyle w:val="TextBody"/>
        <w:pBdr/>
        <w:shd w:fill="FFFFFF" w:val="clear"/>
        <w:bidi w:val="0"/>
        <w:spacing w:before="0" w:after="0"/>
        <w:ind w:left="0" w:right="0" w:hanging="0"/>
        <w:jc w:val="both"/>
        <w:rPr>
          <w:rFonts w:ascii="Arial;Helvetica;sans-serif" w:hAnsi="Arial;Helvetica;sans-serif"/>
          <w:b/>
          <w:sz w:val="20"/>
        </w:rPr>
      </w:pPr>
      <w:bookmarkStart w:id="667" w:name="Tc_XbC-jyYHcUGGMZ4S0uYJVQ_4_5"/>
      <w:bookmarkStart w:id="668" w:name="Tc__hE29lh_0EalblPI-HuOfg_4_2"/>
      <w:bookmarkStart w:id="669" w:name="Tc_Dw9PnLXU7U2_4mV3G4Y95g_4_0"/>
      <w:bookmarkStart w:id="670" w:name="Tc__Atxg-aIRU-XM0KkIdV0qQ_3_0"/>
      <w:bookmarkStart w:id="671" w:name="Tc_lG9qTeWoIk6NTEzmu7wKgw_2_5"/>
      <w:bookmarkStart w:id="672" w:name="Tc_YbIcbCWaMUinUeODj9Ly-w_2_2"/>
      <w:bookmarkStart w:id="673" w:name="Tc_T3s9CNfUp0SZ8krDy2hj1w_2_0"/>
      <w:bookmarkStart w:id="674" w:name="Tc_ottqBCfE-kWWOHPPrEBk1g_1_5"/>
      <w:bookmarkStart w:id="675" w:name="Tc_6nCdFiLSfEuviC4elMm1lA_1_2"/>
      <w:bookmarkStart w:id="676" w:name="Tc_Y0-NM5cbrU297qkmlxIAHA_1_0"/>
      <w:bookmarkEnd w:id="667"/>
      <w:bookmarkEnd w:id="668"/>
      <w:bookmarkEnd w:id="669"/>
      <w:bookmarkEnd w:id="670"/>
      <w:bookmarkEnd w:id="671"/>
      <w:bookmarkEnd w:id="672"/>
      <w:bookmarkEnd w:id="673"/>
      <w:bookmarkEnd w:id="674"/>
      <w:bookmarkEnd w:id="675"/>
      <w:bookmarkEnd w:id="676"/>
      <w:r>
        <w:rPr>
          <w:rFonts w:ascii="Arial;Helvetica;sans-serif" w:hAnsi="Arial;Helvetica;sans-serif"/>
          <w:b/>
          <w:sz w:val="20"/>
        </w:rPr>
        <w:t>Note 4. Inventories</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Inventories consisted of the following:</w:t>
      </w:r>
    </w:p>
    <w:p>
      <w:pPr>
        <w:pStyle w:val="TextBody"/>
        <w:bidi w:val="0"/>
        <w:spacing w:before="0" w:after="0"/>
        <w:ind w:left="0" w:right="0" w:hanging="0"/>
        <w:jc w:val="left"/>
        <w:rPr/>
      </w:pPr>
      <w:r>
        <w:rPr/>
        <w:t>​</w:t>
      </w:r>
    </w:p>
    <w:tbl>
      <w:tblPr>
        <w:tblW w:w="7863" w:type="dxa"/>
        <w:jc w:val="left"/>
        <w:tblInd w:w="0" w:type="dxa"/>
        <w:tblLayout w:type="fixed"/>
        <w:tblCellMar>
          <w:top w:w="0" w:type="dxa"/>
          <w:left w:w="0" w:type="dxa"/>
          <w:bottom w:w="0" w:type="dxa"/>
          <w:right w:w="0" w:type="dxa"/>
        </w:tblCellMar>
      </w:tblPr>
      <w:tblGrid>
        <w:gridCol w:w="3406"/>
        <w:gridCol w:w="346"/>
        <w:gridCol w:w="378"/>
        <w:gridCol w:w="1242"/>
        <w:gridCol w:w="346"/>
        <w:gridCol w:w="449"/>
        <w:gridCol w:w="169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62810" cy="175895"/>
                      <wp:effectExtent l="0" t="0" r="0" b="0"/>
                      <wp:wrapNone/>
                      <wp:docPr id="46" name="Frame46"/>
                      <a:graphic xmlns:a="http://schemas.openxmlformats.org/drawingml/2006/main">
                        <a:graphicData uri="http://schemas.microsoft.com/office/word/2010/wordprocessingShape">
                          <wps:wsp>
                            <wps:cNvSpPr txBox="1"/>
                            <wps:spPr>
                              <a:xfrm>
                                <a:off x="0" y="0"/>
                                <a:ext cx="2162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895"/>
                      <wp:effectExtent l="0" t="0" r="0" b="0"/>
                      <wp:wrapNone/>
                      <wp:docPr id="47" name="Frame4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40030" cy="175895"/>
                      <wp:effectExtent l="0" t="0" r="0" b="0"/>
                      <wp:wrapNone/>
                      <wp:docPr id="48" name="Frame48"/>
                      <a:graphic xmlns:a="http://schemas.openxmlformats.org/drawingml/2006/main">
                        <a:graphicData uri="http://schemas.microsoft.com/office/word/2010/wordprocessingShape">
                          <wps:wsp>
                            <wps:cNvSpPr txBox="1"/>
                            <wps:spPr>
                              <a:xfrm>
                                <a:off x="0" y="0"/>
                                <a:ext cx="2400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88670" cy="175895"/>
                      <wp:effectExtent l="0" t="0" r="0" b="0"/>
                      <wp:wrapNone/>
                      <wp:docPr id="49" name="Frame49"/>
                      <a:graphic xmlns:a="http://schemas.openxmlformats.org/drawingml/2006/main">
                        <a:graphicData uri="http://schemas.microsoft.com/office/word/2010/wordprocessingShape">
                          <wps:wsp>
                            <wps:cNvSpPr txBox="1"/>
                            <wps:spPr>
                              <a:xfrm>
                                <a:off x="0" y="0"/>
                                <a:ext cx="7886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895"/>
                      <wp:effectExtent l="0" t="0" r="0" b="0"/>
                      <wp:wrapNone/>
                      <wp:docPr id="50" name="Frame5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85115" cy="175895"/>
                      <wp:effectExtent l="0" t="0" r="0" b="0"/>
                      <wp:wrapNone/>
                      <wp:docPr id="51" name="Frame51"/>
                      <a:graphic xmlns:a="http://schemas.openxmlformats.org/drawingml/2006/main">
                        <a:graphicData uri="http://schemas.microsoft.com/office/word/2010/wordprocessingShape">
                          <wps:wsp>
                            <wps:cNvSpPr txBox="1"/>
                            <wps:spPr>
                              <a:xfrm>
                                <a:off x="0" y="0"/>
                                <a:ext cx="2851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076960" cy="175895"/>
                      <wp:effectExtent l="0" t="0" r="0" b="0"/>
                      <wp:wrapNone/>
                      <wp:docPr id="52" name="Frame52"/>
                      <a:graphic xmlns:a="http://schemas.openxmlformats.org/drawingml/2006/main">
                        <a:graphicData uri="http://schemas.microsoft.com/office/word/2010/wordprocessingShape">
                          <wps:wsp>
                            <wps:cNvSpPr txBox="1"/>
                            <wps:spPr>
                              <a:xfrm>
                                <a:off x="0" y="0"/>
                                <a:ext cx="10769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40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left"/>
              <w:rPr/>
            </w:pPr>
            <w:r>
              <w:rPr/>
              <w:t>  ​ ​ ​</w:t>
            </w:r>
          </w:p>
        </w:tc>
        <w:tc>
          <w:tcPr>
            <w:tcW w:w="16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At June 30, 2026</w:t>
            </w:r>
          </w:p>
        </w:tc>
        <w:tc>
          <w:tcPr>
            <w:tcW w:w="346" w:type="dxa"/>
            <w:tcBorders/>
            <w:vAlign w:val="center"/>
          </w:tcPr>
          <w:p>
            <w:pPr>
              <w:pStyle w:val="TableContents"/>
              <w:bidi w:val="0"/>
              <w:spacing w:before="1" w:after="1"/>
              <w:ind w:left="0" w:right="0" w:hanging="0"/>
              <w:jc w:val="left"/>
              <w:rPr/>
            </w:pPr>
            <w:r>
              <w:rPr/>
              <w:t>  ​ ​ ​</w:t>
            </w:r>
          </w:p>
        </w:tc>
        <w:tc>
          <w:tcPr>
            <w:tcW w:w="21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At December 31, 2025</w:t>
            </w:r>
          </w:p>
        </w:tc>
      </w:tr>
      <w:tr>
        <w:trPr/>
        <w:tc>
          <w:tcPr>
            <w:tcW w:w="340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Finished goods</w:t>
            </w:r>
          </w:p>
        </w:tc>
        <w:tc>
          <w:tcPr>
            <w:tcW w:w="346" w:type="dxa"/>
            <w:tcBorders/>
            <w:shd w:fill="CCEEFF" w:val="clear"/>
            <w:vAlign w:val="center"/>
          </w:tcPr>
          <w:p>
            <w:pPr>
              <w:pStyle w:val="TableContents"/>
              <w:bidi w:val="0"/>
              <w:spacing w:before="1" w:after="1"/>
              <w:ind w:left="0" w:right="0" w:hanging="0"/>
              <w:jc w:val="left"/>
              <w:rPr/>
            </w:pPr>
            <w:r>
              <w:rPr/>
              <w:t>​</w:t>
            </w:r>
          </w:p>
        </w:tc>
        <w:tc>
          <w:tcPr>
            <w:tcW w:w="378"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5,678</w:t>
            </w:r>
          </w:p>
        </w:tc>
        <w:tc>
          <w:tcPr>
            <w:tcW w:w="346" w:type="dxa"/>
            <w:tcBorders/>
            <w:shd w:fill="CCEEFF" w:val="clear"/>
            <w:vAlign w:val="center"/>
          </w:tcPr>
          <w:p>
            <w:pPr>
              <w:pStyle w:val="TableContents"/>
              <w:bidi w:val="0"/>
              <w:spacing w:before="1" w:after="1"/>
              <w:ind w:left="0" w:right="0" w:hanging="0"/>
              <w:jc w:val="left"/>
              <w:rPr/>
            </w:pPr>
            <w:r>
              <w:rPr/>
              <w:t>​</w:t>
            </w:r>
          </w:p>
        </w:tc>
        <w:tc>
          <w:tcPr>
            <w:tcW w:w="449"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6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5,280</w:t>
            </w:r>
          </w:p>
        </w:tc>
      </w:tr>
      <w:tr>
        <w:trPr/>
        <w:tc>
          <w:tcPr>
            <w:tcW w:w="340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Component parts and work-in-process</w:t>
            </w:r>
          </w:p>
        </w:tc>
        <w:tc>
          <w:tcPr>
            <w:tcW w:w="346" w:type="dxa"/>
            <w:tcBorders/>
            <w:vAlign w:val="center"/>
          </w:tcPr>
          <w:p>
            <w:pPr>
              <w:pStyle w:val="TableContents"/>
              <w:bidi w:val="0"/>
              <w:spacing w:before="1" w:after="1"/>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1242"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11,167</w:t>
            </w:r>
          </w:p>
        </w:tc>
        <w:tc>
          <w:tcPr>
            <w:tcW w:w="346" w:type="dxa"/>
            <w:tcBorders/>
            <w:vAlign w:val="center"/>
          </w:tcPr>
          <w:p>
            <w:pPr>
              <w:pStyle w:val="TableContents"/>
              <w:bidi w:val="0"/>
              <w:spacing w:before="1" w:after="1"/>
              <w:ind w:left="0" w:right="0" w:hanging="0"/>
              <w:jc w:val="left"/>
              <w:rPr/>
            </w:pPr>
            <w:r>
              <w:rPr/>
              <w:t>​</w:t>
            </w:r>
          </w:p>
        </w:tc>
        <w:tc>
          <w:tcPr>
            <w:tcW w:w="449"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169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8,745</w:t>
            </w:r>
          </w:p>
        </w:tc>
      </w:tr>
      <w:tr>
        <w:trPr/>
        <w:tc>
          <w:tcPr>
            <w:tcW w:w="340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 inventories</w:t>
            </w:r>
          </w:p>
        </w:tc>
        <w:tc>
          <w:tcPr>
            <w:tcW w:w="346" w:type="dxa"/>
            <w:tcBorders/>
            <w:shd w:fill="CCEEFF" w:val="clear"/>
            <w:vAlign w:val="center"/>
          </w:tcPr>
          <w:p>
            <w:pPr>
              <w:pStyle w:val="TableContents"/>
              <w:bidi w:val="0"/>
              <w:spacing w:before="1" w:after="1"/>
              <w:ind w:left="0" w:right="0" w:hanging="0"/>
              <w:jc w:val="left"/>
              <w:rPr/>
            </w:pPr>
            <w:r>
              <w:rPr/>
              <w:t>​</w:t>
            </w:r>
          </w:p>
        </w:tc>
        <w:tc>
          <w:tcPr>
            <w:tcW w:w="378"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16,845</w:t>
            </w:r>
          </w:p>
        </w:tc>
        <w:tc>
          <w:tcPr>
            <w:tcW w:w="346" w:type="dxa"/>
            <w:tcBorders/>
            <w:shd w:fill="CCEEFF" w:val="clear"/>
            <w:vAlign w:val="center"/>
          </w:tcPr>
          <w:p>
            <w:pPr>
              <w:pStyle w:val="TableContents"/>
              <w:bidi w:val="0"/>
              <w:spacing w:before="1" w:after="1"/>
              <w:ind w:left="0" w:right="0" w:hanging="0"/>
              <w:jc w:val="left"/>
              <w:rPr/>
            </w:pPr>
            <w:r>
              <w:rPr/>
              <w:t>​</w:t>
            </w:r>
          </w:p>
        </w:tc>
        <w:tc>
          <w:tcPr>
            <w:tcW w:w="449"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69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14,025</w:t>
            </w:r>
          </w:p>
        </w:tc>
      </w:tr>
    </w:tbl>
    <w:p>
      <w:pPr>
        <w:pStyle w:val="TextBody"/>
        <w:shd w:fill="FFFFFF" w:val="clear"/>
        <w:bidi w:val="0"/>
        <w:spacing w:before="100" w:after="100"/>
        <w:ind w:left="0" w:right="0" w:firstLine="720"/>
        <w:jc w:val="both"/>
        <w:rPr/>
      </w:pPr>
      <w:r>
        <w:rPr/>
        <w:t>​</w:t>
      </w:r>
    </w:p>
    <w:p>
      <w:pPr>
        <w:pStyle w:val="TextBody"/>
        <w:shd w:fill="FFFFFF" w:val="clear"/>
        <w:bidi w:val="0"/>
        <w:spacing w:before="100" w:after="100"/>
        <w:ind w:left="0" w:right="0" w:firstLine="720"/>
        <w:jc w:val="both"/>
        <w:rPr/>
      </w:pPr>
      <w:r>
        <w:rPr/>
        <w:t>​</w:t>
      </w:r>
    </w:p>
    <w:p>
      <w:pPr>
        <w:pStyle w:val="TextBody"/>
        <w:shd w:fill="FFFFFF" w:val="clear"/>
        <w:bidi w:val="0"/>
        <w:spacing w:before="100" w:after="100"/>
        <w:ind w:left="0" w:right="0" w:hanging="0"/>
        <w:jc w:val="both"/>
        <w:rPr/>
      </w:pPr>
      <w:r>
        <w:rPr/>
        <w:t>​</w:t>
      </w:r>
    </w:p>
    <w:p>
      <w:pPr>
        <w:pStyle w:val="TextBody"/>
        <w:shd w:fill="FFFFFF" w:val="clear"/>
        <w:bidi w:val="0"/>
        <w:spacing w:before="100" w:after="100"/>
        <w:ind w:left="0" w:right="0" w:firstLine="720"/>
        <w:jc w:val="both"/>
        <w:rPr/>
      </w:pPr>
      <w:r>
        <w:rPr/>
        <w:t>​</w:t>
      </w:r>
    </w:p>
    <w:p>
      <w:pPr>
        <w:pStyle w:val="TextBody"/>
        <w:pBdr/>
        <w:shd w:fill="FFFFFF" w:val="clear"/>
        <w:bidi w:val="0"/>
        <w:spacing w:before="0" w:after="0"/>
        <w:ind w:left="0" w:right="0" w:hanging="0"/>
        <w:jc w:val="both"/>
        <w:rPr>
          <w:rFonts w:ascii="Arial;Helvetica;sans-serif" w:hAnsi="Arial;Helvetica;sans-serif"/>
          <w:b/>
          <w:sz w:val="20"/>
        </w:rPr>
      </w:pPr>
      <w:bookmarkStart w:id="677" w:name="Tc_C26og1wazkW6L1X0pKYBug_4_2"/>
      <w:bookmarkStart w:id="678" w:name="Tc_V9YmC6v9h0Sfky9UAO46tA_4_0"/>
      <w:bookmarkStart w:id="679" w:name="Tc_kV-4dMgcJEyX0v3nWhmlpw_3_0"/>
      <w:bookmarkStart w:id="680" w:name="Tc_2cj2dbv9P06vgcO3s-hCPQ_2_2"/>
      <w:bookmarkStart w:id="681" w:name="Tc_08B18WFa60GPcJFwT5S7VQ_2_0"/>
      <w:bookmarkStart w:id="682" w:name="Tc_7Dq6z0S9uEaOlsYzEogIiA_1_0"/>
      <w:bookmarkEnd w:id="677"/>
      <w:bookmarkEnd w:id="678"/>
      <w:bookmarkEnd w:id="679"/>
      <w:bookmarkEnd w:id="680"/>
      <w:bookmarkEnd w:id="681"/>
      <w:bookmarkEnd w:id="682"/>
      <w:r>
        <w:rPr>
          <w:rFonts w:ascii="Arial;Helvetica;sans-serif" w:hAnsi="Arial;Helvetica;sans-serif"/>
          <w:b/>
          <w:sz w:val="20"/>
        </w:rPr>
        <w:t>Note 5. Goodwill and Intangible Assets</w:t>
      </w:r>
    </w:p>
    <w:p>
      <w:pPr>
        <w:pStyle w:val="TextBody"/>
        <w:pBdr/>
        <w:shd w:fill="FFFFFF" w:val="clear"/>
        <w:bidi w:val="0"/>
        <w:spacing w:before="0" w:after="0"/>
        <w:ind w:left="0" w:right="0" w:hanging="200"/>
        <w:jc w:val="both"/>
        <w:rPr>
          <w:rFonts w:ascii="Arial;Helvetica;sans-serif" w:hAnsi="Arial;Helvetica;sans-serif"/>
          <w:b/>
          <w:i/>
          <w:sz w:val="20"/>
        </w:rPr>
      </w:pPr>
      <w:r>
        <w:rPr>
          <w:rFonts w:ascii="Arial;Helvetica;sans-serif" w:hAnsi="Arial;Helvetica;sans-serif"/>
          <w:b/>
          <w:i/>
          <w:sz w:val="20"/>
        </w:rPr>
        <w:t>Goodwill</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In the third quarter of fiscal 2021, we completed the AffloVest Acquisition. The purchase price of the AffloVest product line exceeded the net acquisition-date estimated fair value amounts of the identifiable assets acquired and the liabilities assumed by $31.1</w:t>
      </w:r>
      <w:r>
        <w:rPr>
          <w:rFonts w:ascii="Times New Roman;Times;serif" w:hAnsi="Times New Roman;Times;serif"/>
          <w:sz w:val="20"/>
        </w:rPr>
        <w:t xml:space="preserve"> </w:t>
      </w:r>
      <w:r>
        <w:rPr>
          <w:rFonts w:ascii="Arial;Helvetica;sans-serif" w:hAnsi="Arial;Helvetica;sans-serif"/>
          <w:sz w:val="20"/>
        </w:rPr>
        <w:t>million, which was assigned to goodwill. In the first quarter of fiscal 2026, we completed the acquisition of LymphaTech. The purchase price of LymphaTech exceeded the net acquisition-date estimated fair value amounts of the identifiable assets acquired and the liabilities assumed by $8.5</w:t>
      </w:r>
      <w:r>
        <w:rPr>
          <w:rFonts w:ascii="Times New Roman;Times;serif" w:hAnsi="Times New Roman;Times;serif"/>
          <w:sz w:val="20"/>
        </w:rPr>
        <w:t xml:space="preserve"> </w:t>
      </w:r>
      <w:r>
        <w:rPr>
          <w:rFonts w:ascii="Arial;Helvetica;sans-serif" w:hAnsi="Arial;Helvetica;sans-serif"/>
          <w:sz w:val="20"/>
        </w:rPr>
        <w:t>million, which was assigned to goodwill.</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changes in the carrying amount of goodwill were as follows:</w:t>
      </w:r>
    </w:p>
    <w:p>
      <w:pPr>
        <w:pStyle w:val="TextBody"/>
        <w:bidi w:val="0"/>
        <w:spacing w:before="0" w:after="0"/>
        <w:ind w:left="0" w:right="0" w:hanging="0"/>
        <w:jc w:val="left"/>
        <w:rPr/>
      </w:pPr>
      <w:r>
        <w:rPr/>
        <w:t>​</w:t>
      </w:r>
    </w:p>
    <w:tbl>
      <w:tblPr>
        <w:tblW w:w="3952" w:type="dxa"/>
        <w:jc w:val="left"/>
        <w:tblInd w:w="0" w:type="dxa"/>
        <w:tblLayout w:type="fixed"/>
        <w:tblCellMar>
          <w:top w:w="0" w:type="dxa"/>
          <w:left w:w="0" w:type="dxa"/>
          <w:bottom w:w="0" w:type="dxa"/>
          <w:right w:w="0" w:type="dxa"/>
        </w:tblCellMar>
      </w:tblPr>
      <w:tblGrid>
        <w:gridCol w:w="2836"/>
        <w:gridCol w:w="109"/>
        <w:gridCol w:w="211"/>
        <w:gridCol w:w="79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00860" cy="175260"/>
                      <wp:effectExtent l="0" t="0" r="0" b="0"/>
                      <wp:wrapNone/>
                      <wp:docPr id="53" name="Frame53"/>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05460" cy="175260"/>
                      <wp:effectExtent l="0" t="0" r="0" b="0"/>
                      <wp:wrapNone/>
                      <wp:docPr id="56" name="Frame5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Goodwill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31,063</w:t>
            </w:r>
          </w:p>
        </w:tc>
      </w:tr>
      <w:tr>
        <w:trPr/>
        <w:tc>
          <w:tcPr>
            <w:tcW w:w="28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 for acquisition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8,491</w:t>
            </w:r>
          </w:p>
        </w:tc>
      </w:tr>
      <w:tr>
        <w:trPr/>
        <w:tc>
          <w:tcPr>
            <w:tcW w:w="28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Goodwill at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39,554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0" w:after="0"/>
        <w:ind w:left="0" w:right="0" w:hanging="0"/>
        <w:jc w:val="left"/>
        <w:rPr>
          <w:rFonts w:ascii="Arial;Helvetica;sans-serif" w:hAnsi="Arial;Helvetica;sans-serif"/>
          <w:b/>
          <w:i/>
          <w:sz w:val="20"/>
        </w:rPr>
      </w:pPr>
      <w:bookmarkStart w:id="683" w:name="Tc_ivOPQnvSmE2slVF34IsxBg_8_2"/>
      <w:bookmarkStart w:id="684" w:name="Tc_EL2CcpdMuUm3M4WFUXCKgA_8_0"/>
      <w:bookmarkStart w:id="685" w:name="Tc_q3ZzpuQZwkeXGMLAhTVbPg_7_0"/>
      <w:bookmarkStart w:id="686" w:name="Tc_fIo3JQGGL0Kz7AHu_qDUWA_6_0"/>
      <w:bookmarkStart w:id="687" w:name="Tc_p1oc0Zji4UeYlIXIPYybFQ_5_0"/>
      <w:bookmarkStart w:id="688" w:name="Tc_NG-23zOp_0mxMB2W2TqxXA_4_0"/>
      <w:bookmarkStart w:id="689" w:name="Tc_QpZ-xU2ZmUGZOmACkDxGHQ_3_0"/>
      <w:bookmarkStart w:id="690" w:name="Tc_PoVxuiojgE-3BKQp0f4fUQ_2_2"/>
      <w:bookmarkStart w:id="691" w:name="Tc__GYKrNsKgk6IX9YahH3sZg_2_0"/>
      <w:bookmarkStart w:id="692" w:name="Tc_24zJDOpMFEqZY-TZJRsD0g_1_0"/>
      <w:bookmarkStart w:id="693" w:name="Tc_V5heUyjENUO1ICvA977cxw_13_10"/>
      <w:bookmarkStart w:id="694" w:name="Tc_i_K-0IqAzUSteRj2o1Gw2Q_13_7"/>
      <w:bookmarkStart w:id="695" w:name="Tc_XCdL8I3xYkG_QKXak0bkFA_13_4"/>
      <w:bookmarkStart w:id="696" w:name="Tc_A72AObl-00OfAQKiyX4gRQ_13_0"/>
      <w:bookmarkStart w:id="697" w:name="Tc_i4b-enUFY02Q0QolUKL_OA_12_8"/>
      <w:bookmarkStart w:id="698" w:name="Tc_jRIBXbiickONm5-kMFTCcA_12_0"/>
      <w:bookmarkStart w:id="699" w:name="Tc_cWC5oZuPA0G8p_zMTpLrAQ_11_8"/>
      <w:bookmarkStart w:id="700" w:name="Tc_NFaZZfkLu06DAggIr5_I7g_11_0"/>
      <w:bookmarkStart w:id="701" w:name="Tc_sHgH65ToxUak9LtRgEpg8A_10_0"/>
      <w:bookmarkStart w:id="702" w:name="Tc_VtWRcQjl8keH488IqYYy3A_9_0"/>
      <w:bookmarkStart w:id="703" w:name="Tc_6wPv6XM3P0qdu7ceiZ_rxg_8_0"/>
      <w:bookmarkStart w:id="704" w:name="Tc_RxleiMaDeUO8XNG3gGoa2Q_7_0"/>
      <w:bookmarkStart w:id="705" w:name="Tc_JRBU4T74eEm_WWh7DnP2Iw_6_10"/>
      <w:bookmarkStart w:id="706" w:name="Tc_wTKyOJMcHk6fKmsdK1Qgtw_6_7"/>
      <w:bookmarkStart w:id="707" w:name="Tc_5g-PNYeRdEO-Wq6BQOmeHQ_6_4"/>
      <w:bookmarkStart w:id="708" w:name="Tc_8mQnIVtUXkGrKGGArCwMpw_6_0"/>
      <w:bookmarkStart w:id="709" w:name="Tc_Cb_NufmrC0uIUF04cTi6fA_5_0"/>
      <w:bookmarkStart w:id="710" w:name="Tc_ZZNPntwxFEm7xTFXdE6JKA_4_10"/>
      <w:bookmarkStart w:id="711" w:name="Tc_NxDcmuZ2G0uozLOWZxwQZg_4_7"/>
      <w:bookmarkStart w:id="712" w:name="Tc_Tu_niv5MJ0uXsTBXKojJZw_4_4"/>
      <w:bookmarkStart w:id="713" w:name="Tc_B3b2G7l-k0WLNlHwx0xKfQ_4_2"/>
      <w:bookmarkStart w:id="714" w:name="Tc_NCYG_eemXEeSLqj3YNedWQ_4_0"/>
      <w:bookmarkStart w:id="715" w:name="Tc_T3OoasCQFUW_tHItJYHLaA_3_10"/>
      <w:bookmarkStart w:id="716" w:name="Tc_WE-4NxlFhkGuhANZ7KBrnA_3_7"/>
      <w:bookmarkStart w:id="717" w:name="Tc_sDA6OHYfwEuEZroKtf9Zuw_3_4"/>
      <w:bookmarkStart w:id="718" w:name="Tc_IwQ4XSLOeE-H5W5MUzwSYg_3_2"/>
      <w:bookmarkStart w:id="719" w:name="Tc_N5f6Hs6ysUyBad25tOt2Ng_2_4"/>
      <w:bookmarkStart w:id="720" w:name="Tc_Dd3Ytn47hUukUMjuJK9abQ_2_2"/>
      <w:bookmarkStart w:id="721" w:name="Tc_XyX74lMHgUytk6yEfV0T6A_1_4"/>
      <w:bookmarkStart w:id="722" w:name="Tc_y_A-WJ1gLkCHbI1Fak6j5w_1_2"/>
      <w:bookmarkStart w:id="723" w:name="_61ba8b24_e327_4bfc_a459_1a3e8548c24b"/>
      <w:bookmarkStart w:id="724" w:name="Tc_vDL7favEGUKZVrVsrbk49A_15_10"/>
      <w:bookmarkStart w:id="725" w:name="Tc_GDeq5YcEHkqkgiyw74jB9w_15_7"/>
      <w:bookmarkStart w:id="726" w:name="Tc_UgphKfPLLkG7RQ-y1A40BQ_15_4"/>
      <w:bookmarkStart w:id="727" w:name="Tc_t2_EfwcLt0WSFygWtimVGw_15_0"/>
      <w:bookmarkStart w:id="728" w:name="Tc_5bHRo-Ugj0mJUoF9hJ6AXg_14_8"/>
      <w:bookmarkStart w:id="729" w:name="Tc_qJNx5Djn_UC2ELWaRJOsOg_14_0"/>
      <w:bookmarkStart w:id="730" w:name="Tc_Rsu0AXl940m2SCPu6Eu2rw_13_8"/>
      <w:bookmarkStart w:id="731" w:name="Tc_iY0aubCPoESzwID8vOyqMA_13_0"/>
      <w:bookmarkStart w:id="732" w:name="Tc_APIK5OVXsUe59AnjRqp6bA_12_0"/>
      <w:bookmarkStart w:id="733" w:name="Tc_QiEFlz1QmE-rW3UCHgz0Kw_11_0"/>
      <w:bookmarkStart w:id="734" w:name="Tc_0OmmbYRHfEyyHf4V71xcDw_10_8"/>
      <w:bookmarkStart w:id="735" w:name="Tc_gnD4IT4LxUSezjdT9SUEYw_10_0"/>
      <w:bookmarkStart w:id="736" w:name="Tc_AoII_3pp20uuVT5WY_-Y7g_9_0"/>
      <w:bookmarkStart w:id="737" w:name="Tc_LL7T1uBgJ0mVihK8dKZYyw_8_0"/>
      <w:bookmarkStart w:id="738" w:name="Tc_7vawGrPe9EOfCiiwuFb4uA_7_0"/>
      <w:bookmarkStart w:id="739" w:name="Tc_ZEuCdU0-P0mpDr84WXxtYg_6_10"/>
      <w:bookmarkStart w:id="740" w:name="Tc_5xc0WdCOgUG7eECU_Z95Zg_6_7"/>
      <w:bookmarkStart w:id="741" w:name="Tc_ow1oe0C5OEyHIKnXO5Ap_g_6_4"/>
      <w:bookmarkStart w:id="742" w:name="Tc_n-pmg6j0-0eXkin1v0Hvgw_6_0"/>
      <w:bookmarkStart w:id="743" w:name="Tc_0HvUhSikOEe8CM-tckseaA_5_0"/>
      <w:bookmarkStart w:id="744" w:name="Tc_QWEvToD_kUK3pGSOqNxu1w_4_10"/>
      <w:bookmarkStart w:id="745" w:name="Tc_HEwskV9CEEiFZ7PXb20_XA_4_7"/>
      <w:bookmarkStart w:id="746" w:name="Tc_iBgvltXq9kmOphGcGKetng_4_4"/>
      <w:bookmarkStart w:id="747" w:name="Tc_c2q6ryk2AUarkQkhS5RR8g_4_2"/>
      <w:bookmarkStart w:id="748" w:name="Tc_Mp07bLP6EkO6HTrzEzc4rQ_4_0"/>
      <w:bookmarkStart w:id="749" w:name="Tc_QWjeD9P48EW9FVKz4Avn_w_3_10"/>
      <w:bookmarkStart w:id="750" w:name="Tc_QdIR31pPPkepkqm7mI6orA_3_7"/>
      <w:bookmarkStart w:id="751" w:name="Tc_018knGn6hEy8QQvkrqWxyw_3_4"/>
      <w:bookmarkStart w:id="752" w:name="Tc_6i3R5aNN40CYz5sjpuUWkQ_3_2"/>
      <w:bookmarkStart w:id="753" w:name="Tc_Gyc57R50C0Wq-Xr-3fOulw_2_4"/>
      <w:bookmarkStart w:id="754" w:name="Tc_1uUchNJQuEapLc_D5zEWvw_2_2"/>
      <w:bookmarkStart w:id="755" w:name="Tc_Qdq_muJKPkWCqPW1LrDlgQ_1_4"/>
      <w:bookmarkStart w:id="756" w:name="Tc_tsrxlD0QMk6UpfpYVtHk7w_1_2"/>
      <w:bookmarkStart w:id="757" w:name="_1d7d8c93_27a6_41cd_a7a2_8fedb8a077ad"/>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r>
        <w:rPr>
          <w:rFonts w:ascii="Arial;Helvetica;sans-serif" w:hAnsi="Arial;Helvetica;sans-serif"/>
          <w:b/>
          <w:i/>
          <w:sz w:val="20"/>
        </w:rPr>
        <w:t>Intangible Assets</w:t>
      </w:r>
    </w:p>
    <w:p>
      <w:pPr>
        <w:pStyle w:val="TextBody"/>
        <w:bidi w:val="0"/>
        <w:spacing w:before="0" w:after="0"/>
        <w:ind w:left="0" w:right="0" w:hanging="0"/>
        <w:jc w:val="left"/>
        <w:rPr/>
      </w:pPr>
      <w:r>
        <w:rPr/>
        <w:t>​</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patents and other intangible assets are summarized as follows:</w:t>
      </w:r>
    </w:p>
    <w:p>
      <w:pPr>
        <w:pStyle w:val="TextBody"/>
        <w:bidi w:val="0"/>
        <w:spacing w:before="0" w:after="0"/>
        <w:ind w:left="0" w:right="0" w:hanging="0"/>
        <w:jc w:val="left"/>
        <w:rPr/>
      </w:pPr>
      <w:r>
        <w:rPr/>
        <w:t>​</w:t>
      </w:r>
    </w:p>
    <w:tbl>
      <w:tblPr>
        <w:tblW w:w="7910" w:type="dxa"/>
        <w:jc w:val="left"/>
        <w:tblInd w:w="0" w:type="dxa"/>
        <w:tblLayout w:type="fixed"/>
        <w:tblCellMar>
          <w:top w:w="0" w:type="dxa"/>
          <w:left w:w="0" w:type="dxa"/>
          <w:bottom w:w="0" w:type="dxa"/>
          <w:right w:w="0" w:type="dxa"/>
        </w:tblCellMar>
      </w:tblPr>
      <w:tblGrid>
        <w:gridCol w:w="3031"/>
        <w:gridCol w:w="346"/>
        <w:gridCol w:w="1141"/>
        <w:gridCol w:w="109"/>
        <w:gridCol w:w="211"/>
        <w:gridCol w:w="691"/>
        <w:gridCol w:w="109"/>
        <w:gridCol w:w="270"/>
        <w:gridCol w:w="886"/>
        <w:gridCol w:w="109"/>
        <w:gridCol w:w="211"/>
        <w:gridCol w:w="79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924685" cy="175895"/>
                      <wp:effectExtent l="0" t="0" r="0" b="0"/>
                      <wp:wrapNone/>
                      <wp:docPr id="57" name="Frame57"/>
                      <a:graphic xmlns:a="http://schemas.openxmlformats.org/drawingml/2006/main">
                        <a:graphicData uri="http://schemas.microsoft.com/office/word/2010/wordprocessingShape">
                          <wps:wsp>
                            <wps:cNvSpPr txBox="1"/>
                            <wps:spPr>
                              <a:xfrm>
                                <a:off x="0" y="0"/>
                                <a:ext cx="1924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895"/>
                      <wp:effectExtent l="0" t="0" r="0" b="0"/>
                      <wp:wrapNone/>
                      <wp:docPr id="58" name="Frame5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24535" cy="175895"/>
                      <wp:effectExtent l="0" t="0" r="0" b="0"/>
                      <wp:wrapNone/>
                      <wp:docPr id="59" name="Frame59"/>
                      <a:graphic xmlns:a="http://schemas.openxmlformats.org/drawingml/2006/main">
                        <a:graphicData uri="http://schemas.microsoft.com/office/word/2010/wordprocessingShape">
                          <wps:wsp>
                            <wps:cNvSpPr txBox="1"/>
                            <wps:spPr>
                              <a:xfrm>
                                <a:off x="0" y="0"/>
                                <a:ext cx="7245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895"/>
                      <wp:effectExtent l="0" t="0" r="0" b="0"/>
                      <wp:wrapNone/>
                      <wp:docPr id="60" name="Frame6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895"/>
                      <wp:effectExtent l="0" t="0" r="0" b="0"/>
                      <wp:wrapNone/>
                      <wp:docPr id="61" name="Frame6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38785" cy="175895"/>
                      <wp:effectExtent l="0" t="0" r="0" b="0"/>
                      <wp:wrapNone/>
                      <wp:docPr id="62" name="Frame62"/>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895"/>
                      <wp:effectExtent l="0" t="0" r="0" b="0"/>
                      <wp:wrapNone/>
                      <wp:docPr id="63" name="Frame6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71450" cy="175895"/>
                      <wp:effectExtent l="0" t="0" r="0" b="0"/>
                      <wp:wrapNone/>
                      <wp:docPr id="64" name="Frame64"/>
                      <a:graphic xmlns:a="http://schemas.openxmlformats.org/drawingml/2006/main">
                        <a:graphicData uri="http://schemas.microsoft.com/office/word/2010/wordprocessingShape">
                          <wps:wsp>
                            <wps:cNvSpPr txBox="1"/>
                            <wps:spPr>
                              <a:xfrm>
                                <a:off x="0" y="0"/>
                                <a:ext cx="1714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62610" cy="175895"/>
                      <wp:effectExtent l="0" t="0" r="0" b="0"/>
                      <wp:wrapNone/>
                      <wp:docPr id="65" name="Frame65"/>
                      <a:graphic xmlns:a="http://schemas.openxmlformats.org/drawingml/2006/main">
                        <a:graphicData uri="http://schemas.microsoft.com/office/word/2010/wordprocessingShape">
                          <wps:wsp>
                            <wps:cNvSpPr txBox="1"/>
                            <wps:spPr>
                              <a:xfrm>
                                <a:off x="0" y="0"/>
                                <a:ext cx="562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895"/>
                      <wp:effectExtent l="0" t="0" r="0" b="0"/>
                      <wp:wrapNone/>
                      <wp:docPr id="66" name="Frame6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895"/>
                      <wp:effectExtent l="0" t="0" r="0" b="0"/>
                      <wp:wrapNone/>
                      <wp:docPr id="67" name="Frame6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05460" cy="175895"/>
                      <wp:effectExtent l="0" t="0" r="0" b="0"/>
                      <wp:wrapNone/>
                      <wp:docPr id="68" name="Frame68"/>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141" w:type="dxa"/>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109" w:type="dxa"/>
            <w:tcBorders/>
            <w:vAlign w:val="center"/>
          </w:tcPr>
          <w:p>
            <w:pPr>
              <w:pStyle w:val="TableContents"/>
              <w:bidi w:val="0"/>
              <w:spacing w:before="1" w:after="1"/>
              <w:ind w:left="0" w:right="0" w:hanging="0"/>
              <w:jc w:val="left"/>
              <w:rPr/>
            </w:pPr>
            <w:r>
              <w:rPr/>
              <w:t>​</w:t>
            </w:r>
          </w:p>
        </w:tc>
        <w:tc>
          <w:tcPr>
            <w:tcW w:w="3283"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At June 30, 2026</w:t>
            </w:r>
          </w:p>
        </w:tc>
      </w:tr>
      <w:tr>
        <w:trPr/>
        <w:tc>
          <w:tcPr>
            <w:tcW w:w="303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141" w:type="dxa"/>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109" w:type="dxa"/>
            <w:tcBorders/>
            <w:vAlign w:val="center"/>
          </w:tcPr>
          <w:p>
            <w:pPr>
              <w:pStyle w:val="TableContents"/>
              <w:bidi w:val="0"/>
              <w:spacing w:before="1" w:after="1"/>
              <w:ind w:left="0" w:right="0" w:hanging="0"/>
              <w:jc w:val="center"/>
              <w:rPr/>
            </w:pPr>
            <w:r>
              <w:rPr/>
              <w:t>​</w:t>
            </w:r>
          </w:p>
        </w:tc>
        <w:tc>
          <w:tcPr>
            <w:tcW w:w="902" w:type="dxa"/>
            <w:gridSpan w:val="2"/>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Gross</w:t>
            </w:r>
          </w:p>
        </w:tc>
        <w:tc>
          <w:tcPr>
            <w:tcW w:w="109" w:type="dxa"/>
            <w:tcBorders/>
            <w:vAlign w:val="center"/>
          </w:tcPr>
          <w:p>
            <w:pPr>
              <w:pStyle w:val="TableContents"/>
              <w:bidi w:val="0"/>
              <w:spacing w:before="1" w:after="1"/>
              <w:ind w:left="0" w:right="0" w:hanging="0"/>
              <w:jc w:val="center"/>
              <w:rPr/>
            </w:pPr>
            <w:r>
              <w:rPr/>
              <w:t>​</w:t>
            </w:r>
          </w:p>
        </w:tc>
        <w:tc>
          <w:tcPr>
            <w:tcW w:w="1156" w:type="dxa"/>
            <w:gridSpan w:val="2"/>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07" w:type="dxa"/>
            <w:gridSpan w:val="2"/>
            <w:tcBorders/>
            <w:vAlign w:val="center"/>
          </w:tcPr>
          <w:p>
            <w:pPr>
              <w:pStyle w:val="TableContents"/>
              <w:bidi w:val="0"/>
              <w:spacing w:before="1" w:after="1"/>
              <w:ind w:left="0" w:right="0" w:hanging="0"/>
              <w:jc w:val="center"/>
              <w:rPr/>
            </w:pPr>
            <w:r>
              <w:rPr/>
              <w:t>​</w:t>
            </w:r>
          </w:p>
        </w:tc>
      </w:tr>
      <w:tr>
        <w:trPr/>
        <w:tc>
          <w:tcPr>
            <w:tcW w:w="303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141" w:type="dxa"/>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109" w:type="dxa"/>
            <w:tcBorders/>
            <w:vAlign w:val="center"/>
          </w:tcPr>
          <w:p>
            <w:pPr>
              <w:pStyle w:val="TableContents"/>
              <w:bidi w:val="0"/>
              <w:spacing w:before="1" w:after="1"/>
              <w:ind w:left="0" w:right="0" w:hanging="0"/>
              <w:jc w:val="center"/>
              <w:rPr/>
            </w:pPr>
            <w:r>
              <w:rPr/>
              <w:t>​</w:t>
            </w:r>
          </w:p>
        </w:tc>
        <w:tc>
          <w:tcPr>
            <w:tcW w:w="902" w:type="dxa"/>
            <w:gridSpan w:val="2"/>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109" w:type="dxa"/>
            <w:tcBorders/>
            <w:vAlign w:val="center"/>
          </w:tcPr>
          <w:p>
            <w:pPr>
              <w:pStyle w:val="TableContents"/>
              <w:bidi w:val="0"/>
              <w:spacing w:before="1" w:after="1"/>
              <w:ind w:left="0" w:right="0" w:hanging="0"/>
              <w:jc w:val="center"/>
              <w:rPr/>
            </w:pPr>
            <w:r>
              <w:rPr/>
              <w:t>​</w:t>
            </w:r>
          </w:p>
        </w:tc>
        <w:tc>
          <w:tcPr>
            <w:tcW w:w="1156" w:type="dxa"/>
            <w:gridSpan w:val="2"/>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109" w:type="dxa"/>
            <w:tcBorders/>
            <w:vAlign w:val="center"/>
          </w:tcPr>
          <w:p>
            <w:pPr>
              <w:pStyle w:val="TableContents"/>
              <w:bidi w:val="0"/>
              <w:spacing w:before="1" w:after="1"/>
              <w:ind w:left="0" w:right="0" w:hanging="0"/>
              <w:jc w:val="left"/>
              <w:rPr/>
            </w:pPr>
            <w:r>
              <w:rPr/>
              <w:t>​</w:t>
            </w:r>
          </w:p>
        </w:tc>
        <w:tc>
          <w:tcPr>
            <w:tcW w:w="1007" w:type="dxa"/>
            <w:gridSpan w:val="2"/>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031"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Period</w:t>
            </w:r>
          </w:p>
        </w:tc>
        <w:tc>
          <w:tcPr>
            <w:tcW w:w="109" w:type="dxa"/>
            <w:tcBorders/>
            <w:vAlign w:val="center"/>
          </w:tcPr>
          <w:p>
            <w:pPr>
              <w:pStyle w:val="TableContents"/>
              <w:bidi w:val="0"/>
              <w:spacing w:before="1"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109" w:type="dxa"/>
            <w:tcBorders/>
            <w:vAlign w:val="center"/>
          </w:tcPr>
          <w:p>
            <w:pPr>
              <w:pStyle w:val="TableContents"/>
              <w:bidi w:val="0"/>
              <w:spacing w:before="1" w:after="1"/>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109" w:type="dxa"/>
            <w:tcBorders/>
            <w:vAlign w:val="center"/>
          </w:tcPr>
          <w:p>
            <w:pPr>
              <w:pStyle w:val="TableContents"/>
              <w:bidi w:val="0"/>
              <w:spacing w:before="1"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Amount</w:t>
            </w:r>
          </w:p>
        </w:tc>
      </w:tr>
      <w:tr>
        <w:trPr/>
        <w:tc>
          <w:tcPr>
            <w:tcW w:w="3031" w:type="dxa"/>
            <w:tcBorders/>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Definite-lived intangible assets:</w:t>
            </w:r>
          </w:p>
        </w:tc>
        <w:tc>
          <w:tcPr>
            <w:tcW w:w="346" w:type="dxa"/>
            <w:tcBorders/>
            <w:vAlign w:val="center"/>
          </w:tcPr>
          <w:p>
            <w:pPr>
              <w:pStyle w:val="TableContents"/>
              <w:bidi w:val="0"/>
              <w:spacing w:before="1" w:after="1"/>
              <w:ind w:left="0" w:right="0" w:hanging="0"/>
              <w:jc w:val="left"/>
              <w:rPr/>
            </w:pPr>
            <w:r>
              <w:rPr/>
              <w:t>​</w:t>
            </w:r>
          </w:p>
        </w:tc>
        <w:tc>
          <w:tcPr>
            <w:tcW w:w="11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center"/>
              <w:rPr/>
            </w:pPr>
            <w:r>
              <w:rPr/>
              <w:t>​</w:t>
            </w:r>
          </w:p>
        </w:tc>
        <w:tc>
          <w:tcPr>
            <w:tcW w:w="69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270" w:type="dxa"/>
            <w:tcBorders/>
            <w:vAlign w:val="center"/>
          </w:tcPr>
          <w:p>
            <w:pPr>
              <w:pStyle w:val="TableContents"/>
              <w:bidi w:val="0"/>
              <w:spacing w:before="1" w:after="1"/>
              <w:ind w:left="0" w:right="0" w:hanging="0"/>
              <w:jc w:val="center"/>
              <w:rPr/>
            </w:pPr>
            <w:r>
              <w:rPr/>
              <w:t>​</w:t>
            </w:r>
          </w:p>
        </w:tc>
        <w:tc>
          <w:tcPr>
            <w:tcW w:w="88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center"/>
              <w:rPr/>
            </w:pPr>
            <w:r>
              <w:rPr/>
              <w:t>​</w:t>
            </w:r>
          </w:p>
        </w:tc>
        <w:tc>
          <w:tcPr>
            <w:tcW w:w="796" w:type="dxa"/>
            <w:tcBorders/>
            <w:vAlign w:val="center"/>
          </w:tcPr>
          <w:p>
            <w:pPr>
              <w:pStyle w:val="TableContents"/>
              <w:bidi w:val="0"/>
              <w:spacing w:before="1" w:after="1"/>
              <w:ind w:left="0" w:right="0" w:hanging="0"/>
              <w:jc w:val="center"/>
              <w:rPr/>
            </w:pPr>
            <w:r>
              <w:rPr/>
              <w:t>​</w:t>
            </w:r>
          </w:p>
        </w:tc>
      </w:tr>
      <w:tr>
        <w:trPr/>
        <w:tc>
          <w:tcPr>
            <w:tcW w:w="303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Patents</w:t>
            </w:r>
          </w:p>
        </w:tc>
        <w:tc>
          <w:tcPr>
            <w:tcW w:w="346" w:type="dxa"/>
            <w:tcBorders/>
            <w:shd w:fill="CCEEFF" w:val="clear"/>
            <w:vAlign w:val="center"/>
          </w:tcPr>
          <w:p>
            <w:pPr>
              <w:pStyle w:val="TableContents"/>
              <w:bidi w:val="0"/>
              <w:spacing w:before="1" w:after="1"/>
              <w:ind w:left="0" w:right="0" w:hanging="0"/>
              <w:jc w:val="left"/>
              <w:rPr/>
            </w:pPr>
            <w:r>
              <w:rPr/>
              <w:t>​</w:t>
            </w:r>
          </w:p>
        </w:tc>
        <w:tc>
          <w:tcPr>
            <w:tcW w:w="114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 years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1,133</w:t>
            </w:r>
          </w:p>
        </w:tc>
        <w:tc>
          <w:tcPr>
            <w:tcW w:w="109" w:type="dxa"/>
            <w:tcBorders/>
            <w:shd w:fill="CCEEFF" w:val="clear"/>
            <w:vAlign w:val="center"/>
          </w:tcPr>
          <w:p>
            <w:pPr>
              <w:pStyle w:val="TableContents"/>
              <w:bidi w:val="0"/>
              <w:spacing w:before="1" w:after="1"/>
              <w:ind w:left="0" w:right="0" w:hanging="0"/>
              <w:jc w:val="left"/>
              <w:rPr/>
            </w:pPr>
            <w:r>
              <w:rPr/>
              <w:t>​</w:t>
            </w:r>
          </w:p>
        </w:tc>
        <w:tc>
          <w:tcPr>
            <w:tcW w:w="270"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8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359</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774</w:t>
            </w:r>
          </w:p>
        </w:tc>
      </w:tr>
      <w:tr>
        <w:trPr/>
        <w:tc>
          <w:tcPr>
            <w:tcW w:w="303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Tradenames</w:t>
            </w:r>
          </w:p>
        </w:tc>
        <w:tc>
          <w:tcPr>
            <w:tcW w:w="346" w:type="dxa"/>
            <w:tcBorders/>
            <w:vAlign w:val="center"/>
          </w:tcPr>
          <w:p>
            <w:pPr>
              <w:pStyle w:val="TableContents"/>
              <w:bidi w:val="0"/>
              <w:spacing w:before="1" w:after="1"/>
              <w:ind w:left="0" w:right="0" w:hanging="0"/>
              <w:jc w:val="left"/>
              <w:rPr/>
            </w:pPr>
            <w:r>
              <w:rPr/>
              <w:t>​</w:t>
            </w:r>
          </w:p>
        </w:tc>
        <w:tc>
          <w:tcPr>
            <w:tcW w:w="114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 years</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370</w:t>
            </w:r>
          </w:p>
        </w:tc>
        <w:tc>
          <w:tcPr>
            <w:tcW w:w="109" w:type="dxa"/>
            <w:tcBorders/>
            <w:vAlign w:val="center"/>
          </w:tcPr>
          <w:p>
            <w:pPr>
              <w:pStyle w:val="TableContents"/>
              <w:bidi w:val="0"/>
              <w:spacing w:before="1" w:after="1"/>
              <w:ind w:left="0" w:right="0" w:hanging="0"/>
              <w:jc w:val="left"/>
              <w:rPr/>
            </w:pPr>
            <w:r>
              <w:rPr/>
              <w:t>​</w:t>
            </w:r>
          </w:p>
        </w:tc>
        <w:tc>
          <w:tcPr>
            <w:tcW w:w="270"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14</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356</w:t>
            </w:r>
          </w:p>
        </w:tc>
      </w:tr>
      <w:tr>
        <w:trPr/>
        <w:tc>
          <w:tcPr>
            <w:tcW w:w="303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Customer relationships</w:t>
            </w:r>
          </w:p>
        </w:tc>
        <w:tc>
          <w:tcPr>
            <w:tcW w:w="346" w:type="dxa"/>
            <w:tcBorders/>
            <w:shd w:fill="CCEEFF" w:val="clear"/>
            <w:vAlign w:val="center"/>
          </w:tcPr>
          <w:p>
            <w:pPr>
              <w:pStyle w:val="TableContents"/>
              <w:bidi w:val="0"/>
              <w:spacing w:before="1" w:after="1"/>
              <w:ind w:left="0" w:right="0" w:hanging="0"/>
              <w:jc w:val="left"/>
              <w:rPr/>
            </w:pPr>
            <w:r>
              <w:rPr/>
              <w:t>​</w:t>
            </w:r>
          </w:p>
        </w:tc>
        <w:tc>
          <w:tcPr>
            <w:tcW w:w="114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 years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31,540</w:t>
            </w:r>
          </w:p>
        </w:tc>
        <w:tc>
          <w:tcPr>
            <w:tcW w:w="109" w:type="dxa"/>
            <w:tcBorders/>
            <w:shd w:fill="CCEEFF" w:val="clear"/>
            <w:vAlign w:val="center"/>
          </w:tcPr>
          <w:p>
            <w:pPr>
              <w:pStyle w:val="TableContents"/>
              <w:bidi w:val="0"/>
              <w:spacing w:before="1" w:after="1"/>
              <w:ind w:left="0" w:right="0" w:hanging="0"/>
              <w:jc w:val="left"/>
              <w:rPr/>
            </w:pPr>
            <w:r>
              <w:rPr/>
              <w:t>​</w:t>
            </w:r>
          </w:p>
        </w:tc>
        <w:tc>
          <w:tcPr>
            <w:tcW w:w="270"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11,513</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20,027</w:t>
            </w:r>
          </w:p>
        </w:tc>
      </w:tr>
      <w:tr>
        <w:trPr/>
        <w:tc>
          <w:tcPr>
            <w:tcW w:w="303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Developed technology</w:t>
            </w:r>
          </w:p>
        </w:tc>
        <w:tc>
          <w:tcPr>
            <w:tcW w:w="346" w:type="dxa"/>
            <w:tcBorders/>
            <w:vAlign w:val="center"/>
          </w:tcPr>
          <w:p>
            <w:pPr>
              <w:pStyle w:val="TableContents"/>
              <w:bidi w:val="0"/>
              <w:spacing w:before="1" w:after="1"/>
              <w:ind w:left="0" w:right="0" w:hanging="0"/>
              <w:jc w:val="left"/>
              <w:rPr/>
            </w:pPr>
            <w:r>
              <w:rPr/>
              <w:t>​</w:t>
            </w:r>
          </w:p>
        </w:tc>
        <w:tc>
          <w:tcPr>
            <w:tcW w:w="114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 years</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16,703</w:t>
            </w:r>
          </w:p>
        </w:tc>
        <w:tc>
          <w:tcPr>
            <w:tcW w:w="109" w:type="dxa"/>
            <w:tcBorders/>
            <w:vAlign w:val="center"/>
          </w:tcPr>
          <w:p>
            <w:pPr>
              <w:pStyle w:val="TableContents"/>
              <w:bidi w:val="0"/>
              <w:spacing w:before="1" w:after="1"/>
              <w:ind w:left="0" w:right="0" w:hanging="0"/>
              <w:jc w:val="left"/>
              <w:rPr/>
            </w:pPr>
            <w:r>
              <w:rPr/>
              <w:t>​</w:t>
            </w:r>
          </w:p>
        </w:tc>
        <w:tc>
          <w:tcPr>
            <w:tcW w:w="270"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5,818</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10,885</w:t>
            </w:r>
          </w:p>
        </w:tc>
      </w:tr>
      <w:tr>
        <w:trPr/>
        <w:tc>
          <w:tcPr>
            <w:tcW w:w="303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1" w:after="1"/>
              <w:ind w:left="0" w:right="0" w:hanging="0"/>
              <w:jc w:val="left"/>
              <w:rPr/>
            </w:pPr>
            <w:r>
              <w:rPr/>
              <w:t>​</w:t>
            </w:r>
          </w:p>
        </w:tc>
        <w:tc>
          <w:tcPr>
            <w:tcW w:w="114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 years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3,000</w:t>
            </w:r>
          </w:p>
        </w:tc>
        <w:tc>
          <w:tcPr>
            <w:tcW w:w="109" w:type="dxa"/>
            <w:tcBorders/>
            <w:shd w:fill="CCEEFF" w:val="clear"/>
            <w:vAlign w:val="center"/>
          </w:tcPr>
          <w:p>
            <w:pPr>
              <w:pStyle w:val="TableContents"/>
              <w:bidi w:val="0"/>
              <w:spacing w:before="1"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3,000</w:t>
            </w:r>
          </w:p>
        </w:tc>
      </w:tr>
      <w:tr>
        <w:trPr/>
        <w:tc>
          <w:tcPr>
            <w:tcW w:w="303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Subtotal</w:t>
            </w:r>
          </w:p>
        </w:tc>
        <w:tc>
          <w:tcPr>
            <w:tcW w:w="346" w:type="dxa"/>
            <w:tcBorders/>
            <w:vAlign w:val="center"/>
          </w:tcPr>
          <w:p>
            <w:pPr>
              <w:pStyle w:val="TableContents"/>
              <w:bidi w:val="0"/>
              <w:spacing w:before="1" w:after="1"/>
              <w:ind w:left="0" w:right="0" w:hanging="0"/>
              <w:jc w:val="left"/>
              <w:rPr/>
            </w:pPr>
            <w:r>
              <w:rPr/>
              <w:t>​</w:t>
            </w:r>
          </w:p>
        </w:tc>
        <w:tc>
          <w:tcPr>
            <w:tcW w:w="114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52,746</w:t>
            </w:r>
          </w:p>
        </w:tc>
        <w:tc>
          <w:tcPr>
            <w:tcW w:w="109" w:type="dxa"/>
            <w:tcBorders/>
            <w:vAlign w:val="center"/>
          </w:tcPr>
          <w:p>
            <w:pPr>
              <w:pStyle w:val="TableContents"/>
              <w:bidi w:val="0"/>
              <w:spacing w:before="1" w:after="1"/>
              <w:ind w:left="0" w:right="0" w:hanging="0"/>
              <w:jc w:val="left"/>
              <w:rPr/>
            </w:pPr>
            <w:r>
              <w:rPr/>
              <w:t>​</w:t>
            </w:r>
          </w:p>
        </w:tc>
        <w:tc>
          <w:tcPr>
            <w:tcW w:w="270"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17,704</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35,042</w:t>
            </w:r>
          </w:p>
        </w:tc>
      </w:tr>
      <w:tr>
        <w:trPr/>
        <w:tc>
          <w:tcPr>
            <w:tcW w:w="3031" w:type="dxa"/>
            <w:tcBorders/>
            <w:shd w:fill="CCEEFF" w:val="clear"/>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Unamortized intangible assets:</w:t>
            </w:r>
          </w:p>
        </w:tc>
        <w:tc>
          <w:tcPr>
            <w:tcW w:w="346" w:type="dxa"/>
            <w:tcBorders/>
            <w:shd w:fill="CCEEFF" w:val="clear"/>
            <w:vAlign w:val="center"/>
          </w:tcPr>
          <w:p>
            <w:pPr>
              <w:pStyle w:val="TableContents"/>
              <w:bidi w:val="0"/>
              <w:spacing w:before="1" w:after="1"/>
              <w:ind w:left="0" w:right="0" w:hanging="0"/>
              <w:jc w:val="left"/>
              <w:rPr/>
            </w:pPr>
            <w:r>
              <w:rPr/>
              <w:t>​</w:t>
            </w:r>
          </w:p>
        </w:tc>
        <w:tc>
          <w:tcPr>
            <w:tcW w:w="114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70"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pPr>
            <w:r>
              <w:rPr/>
              <w:t>​</w:t>
            </w:r>
          </w:p>
        </w:tc>
      </w:tr>
      <w:tr>
        <w:trPr/>
        <w:tc>
          <w:tcPr>
            <w:tcW w:w="303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Tradenames</w:t>
            </w:r>
          </w:p>
        </w:tc>
        <w:tc>
          <w:tcPr>
            <w:tcW w:w="346" w:type="dxa"/>
            <w:tcBorders/>
            <w:vAlign w:val="center"/>
          </w:tcPr>
          <w:p>
            <w:pPr>
              <w:pStyle w:val="TableContents"/>
              <w:bidi w:val="0"/>
              <w:spacing w:before="1" w:after="1"/>
              <w:ind w:left="0" w:right="0" w:hanging="0"/>
              <w:jc w:val="left"/>
              <w:rPr/>
            </w:pPr>
            <w:r>
              <w:rPr/>
              <w:t>​</w:t>
            </w:r>
          </w:p>
        </w:tc>
        <w:tc>
          <w:tcPr>
            <w:tcW w:w="114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9,500</w:t>
            </w:r>
          </w:p>
        </w:tc>
        <w:tc>
          <w:tcPr>
            <w:tcW w:w="109" w:type="dxa"/>
            <w:tcBorders/>
            <w:vAlign w:val="center"/>
          </w:tcPr>
          <w:p>
            <w:pPr>
              <w:pStyle w:val="TableContents"/>
              <w:bidi w:val="0"/>
              <w:spacing w:before="1" w:after="1"/>
              <w:ind w:left="0" w:right="0" w:hanging="0"/>
              <w:jc w:val="left"/>
              <w:rPr/>
            </w:pPr>
            <w:r>
              <w:rPr/>
              <w:t>​</w:t>
            </w:r>
          </w:p>
        </w:tc>
        <w:tc>
          <w:tcPr>
            <w:tcW w:w="270"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9,500</w:t>
            </w:r>
          </w:p>
        </w:tc>
      </w:tr>
      <w:tr>
        <w:trPr/>
        <w:tc>
          <w:tcPr>
            <w:tcW w:w="303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Patents pending</w:t>
            </w:r>
          </w:p>
        </w:tc>
        <w:tc>
          <w:tcPr>
            <w:tcW w:w="346" w:type="dxa"/>
            <w:tcBorders/>
            <w:shd w:fill="CCEEFF" w:val="clear"/>
            <w:vAlign w:val="center"/>
          </w:tcPr>
          <w:p>
            <w:pPr>
              <w:pStyle w:val="TableContents"/>
              <w:bidi w:val="0"/>
              <w:spacing w:before="1" w:after="1"/>
              <w:ind w:left="0" w:right="0" w:hanging="0"/>
              <w:jc w:val="left"/>
              <w:rPr/>
            </w:pPr>
            <w:r>
              <w:rPr/>
              <w:t>​</w:t>
            </w:r>
          </w:p>
        </w:tc>
        <w:tc>
          <w:tcPr>
            <w:tcW w:w="114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205</w:t>
            </w:r>
          </w:p>
        </w:tc>
        <w:tc>
          <w:tcPr>
            <w:tcW w:w="109" w:type="dxa"/>
            <w:tcBorders/>
            <w:shd w:fill="CCEEFF" w:val="clear"/>
            <w:vAlign w:val="center"/>
          </w:tcPr>
          <w:p>
            <w:pPr>
              <w:pStyle w:val="TableContents"/>
              <w:bidi w:val="0"/>
              <w:spacing w:before="1"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205</w:t>
            </w:r>
          </w:p>
        </w:tc>
      </w:tr>
      <w:tr>
        <w:trPr/>
        <w:tc>
          <w:tcPr>
            <w:tcW w:w="303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 intangible assets</w:t>
            </w:r>
          </w:p>
        </w:tc>
        <w:tc>
          <w:tcPr>
            <w:tcW w:w="346" w:type="dxa"/>
            <w:tcBorders/>
            <w:vAlign w:val="center"/>
          </w:tcPr>
          <w:p>
            <w:pPr>
              <w:pStyle w:val="TableContents"/>
              <w:bidi w:val="0"/>
              <w:spacing w:before="1" w:after="1"/>
              <w:ind w:left="0" w:right="0" w:hanging="0"/>
              <w:jc w:val="center"/>
              <w:rPr/>
            </w:pPr>
            <w:r>
              <w:rPr/>
              <w:t>​</w:t>
            </w:r>
          </w:p>
        </w:tc>
        <w:tc>
          <w:tcPr>
            <w:tcW w:w="11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62,451</w:t>
            </w:r>
          </w:p>
        </w:tc>
        <w:tc>
          <w:tcPr>
            <w:tcW w:w="109" w:type="dxa"/>
            <w:tcBorders/>
            <w:vAlign w:val="center"/>
          </w:tcPr>
          <w:p>
            <w:pPr>
              <w:pStyle w:val="TableContents"/>
              <w:bidi w:val="0"/>
              <w:spacing w:before="1"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86"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17,704</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44,747</w:t>
            </w:r>
          </w:p>
        </w:tc>
      </w:tr>
    </w:tbl>
    <w:p>
      <w:pPr>
        <w:pStyle w:val="TextBody"/>
        <w:pBdr/>
        <w:shd w:fill="FFFFFF" w:val="clear"/>
        <w:bidi w:val="0"/>
        <w:spacing w:before="100" w:after="100"/>
        <w:ind w:left="0" w:right="0" w:hanging="0"/>
        <w:jc w:val="both"/>
        <w:rPr/>
      </w:pPr>
      <w:r>
        <w:rPr/>
        <w:t>​</w:t>
      </w:r>
    </w:p>
    <w:p>
      <w:pPr>
        <w:pStyle w:val="TextBody"/>
        <w:shd w:fill="FFFFFF" w:val="clear"/>
        <w:bidi w:val="0"/>
        <w:spacing w:before="0" w:after="100"/>
        <w:ind w:left="0" w:right="0" w:hanging="0"/>
        <w:jc w:val="both"/>
        <w:rPr/>
      </w:pPr>
      <w:r>
        <w:rPr/>
        <w:t>​</w:t>
      </w:r>
    </w:p>
    <w:tbl>
      <w:tblPr>
        <w:tblW w:w="7910" w:type="dxa"/>
        <w:jc w:val="left"/>
        <w:tblInd w:w="0" w:type="dxa"/>
        <w:tblLayout w:type="fixed"/>
        <w:tblCellMar>
          <w:top w:w="0" w:type="dxa"/>
          <w:left w:w="0" w:type="dxa"/>
          <w:bottom w:w="0" w:type="dxa"/>
          <w:right w:w="0" w:type="dxa"/>
        </w:tblCellMar>
      </w:tblPr>
      <w:tblGrid>
        <w:gridCol w:w="3031"/>
        <w:gridCol w:w="346"/>
        <w:gridCol w:w="1141"/>
        <w:gridCol w:w="109"/>
        <w:gridCol w:w="211"/>
        <w:gridCol w:w="691"/>
        <w:gridCol w:w="109"/>
        <w:gridCol w:w="270"/>
        <w:gridCol w:w="886"/>
        <w:gridCol w:w="109"/>
        <w:gridCol w:w="211"/>
        <w:gridCol w:w="79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24685" cy="175260"/>
                      <wp:effectExtent l="0" t="0" r="0" b="0"/>
                      <wp:wrapNone/>
                      <wp:docPr id="69" name="Frame69"/>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24535" cy="175260"/>
                      <wp:effectExtent l="0" t="0" r="0" b="0"/>
                      <wp:wrapNone/>
                      <wp:docPr id="71" name="Frame7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38785" cy="175260"/>
                      <wp:effectExtent l="0" t="0" r="0" b="0"/>
                      <wp:wrapNone/>
                      <wp:docPr id="74" name="Frame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1450" cy="175260"/>
                      <wp:effectExtent l="0" t="0" r="0" b="0"/>
                      <wp:wrapNone/>
                      <wp:docPr id="76" name="Frame7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62610" cy="175260"/>
                      <wp:effectExtent l="0" t="0" r="0" b="0"/>
                      <wp:wrapNone/>
                      <wp:docPr id="77" name="Frame7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5460" cy="175260"/>
                      <wp:effectExtent l="0" t="0" r="0" b="0"/>
                      <wp:wrapNone/>
                      <wp:docPr id="80" name="Frame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32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At December 31, 2025</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Gross</w:t>
            </w:r>
          </w:p>
        </w:tc>
        <w:tc>
          <w:tcPr>
            <w:tcW w:w="109"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Carrying</w:t>
            </w:r>
          </w:p>
        </w:tc>
        <w:tc>
          <w:tcPr>
            <w:tcW w:w="109" w:type="dxa"/>
            <w:tcBorders/>
            <w:vAlign w:val="center"/>
          </w:tcPr>
          <w:p>
            <w:pPr>
              <w:pStyle w:val="TableContents"/>
              <w:bidi w:val="0"/>
              <w:spacing w:before="0" w:after="0"/>
              <w:ind w:left="0" w:right="0" w:hanging="0"/>
              <w:jc w:val="center"/>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Net</w:t>
            </w:r>
          </w:p>
        </w:tc>
      </w:tr>
      <w:tr>
        <w:trPr/>
        <w:tc>
          <w:tcPr>
            <w:tcW w:w="303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Period</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Amortization</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r>
      <w:tr>
        <w:trPr/>
        <w:tc>
          <w:tcPr>
            <w:tcW w:w="303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Definite-lived intangible assets: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30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765</w:t>
            </w:r>
          </w:p>
        </w:tc>
      </w:tr>
      <w:tr>
        <w:trPr/>
        <w:tc>
          <w:tcPr>
            <w:tcW w:w="30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 years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31,000</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10,280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20,720</w:t>
            </w:r>
          </w:p>
        </w:tc>
      </w:tr>
      <w:tr>
        <w:trPr/>
        <w:tc>
          <w:tcPr>
            <w:tcW w:w="30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Developed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13,000</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7,905</w:t>
            </w:r>
          </w:p>
        </w:tc>
      </w:tr>
      <w:tr>
        <w:trPr/>
        <w:tc>
          <w:tcPr>
            <w:tcW w:w="30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Subtotal</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45,083</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29,390</w:t>
            </w:r>
          </w:p>
        </w:tc>
      </w:tr>
      <w:tr>
        <w:trPr/>
        <w:tc>
          <w:tcPr>
            <w:tcW w:w="303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Unamortized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Tradenames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9,500</w:t>
            </w:r>
          </w:p>
        </w:tc>
      </w:tr>
      <w:tr>
        <w:trPr/>
        <w:tc>
          <w:tcPr>
            <w:tcW w:w="30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Patents pending</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w:t>
            </w:r>
          </w:p>
        </w:tc>
      </w:tr>
      <w:tr>
        <w:trPr/>
        <w:tc>
          <w:tcPr>
            <w:tcW w:w="30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intangible assets</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54,860</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15,693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39,167</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Arial;Helvetica;sans-serif" w:hAnsi="Arial;Helvetica;sans-serif"/>
          <w:sz w:val="20"/>
        </w:rPr>
        <w:t>Amortization expense was $1.1</w:t>
      </w:r>
      <w:r>
        <w:rPr>
          <w:rFonts w:ascii="Times New Roman;Times;serif" w:hAnsi="Times New Roman;Times;serif"/>
          <w:sz w:val="20"/>
        </w:rPr>
        <w:t xml:space="preserve"> </w:t>
      </w:r>
      <w:r>
        <w:rPr>
          <w:rFonts w:ascii="Arial;Helvetica;sans-serif" w:hAnsi="Arial;Helvetica;sans-serif"/>
          <w:sz w:val="20"/>
        </w:rPr>
        <w:t>million and $0.9</w:t>
      </w:r>
      <w:r>
        <w:rPr>
          <w:rFonts w:ascii="Times New Roman;Times;serif" w:hAnsi="Times New Roman;Times;serif"/>
          <w:sz w:val="20"/>
        </w:rPr>
        <w:t xml:space="preserve"> </w:t>
      </w:r>
      <w:r>
        <w:rPr>
          <w:rFonts w:ascii="Arial;Helvetica;sans-serif" w:hAnsi="Arial;Helvetica;sans-serif"/>
          <w:sz w:val="20"/>
        </w:rPr>
        <w:t>million for the three months ended June 30, 2026 and 2025, respectively, and $2.0</w:t>
      </w:r>
      <w:r>
        <w:rPr>
          <w:rFonts w:ascii="Times New Roman;Times;serif" w:hAnsi="Times New Roman;Times;serif"/>
          <w:sz w:val="20"/>
        </w:rPr>
        <w:t xml:space="preserve"> </w:t>
      </w:r>
      <w:r>
        <w:rPr>
          <w:rFonts w:ascii="Arial;Helvetica;sans-serif" w:hAnsi="Arial;Helvetica;sans-serif"/>
          <w:sz w:val="20"/>
        </w:rPr>
        <w:t>million and $1.9</w:t>
      </w:r>
      <w:r>
        <w:rPr>
          <w:rFonts w:ascii="Times New Roman;Times;serif" w:hAnsi="Times New Roman;Times;serif"/>
          <w:sz w:val="20"/>
        </w:rPr>
        <w:t xml:space="preserve"> </w:t>
      </w:r>
      <w:r>
        <w:rPr>
          <w:rFonts w:ascii="Arial;Helvetica;sans-serif" w:hAnsi="Arial;Helvetica;sans-serif"/>
          <w:sz w:val="20"/>
        </w:rPr>
        <w:t>million for the six months ended June 30, 2026 and 2025, respectively, of which $0.5</w:t>
      </w:r>
      <w:r>
        <w:rPr>
          <w:rFonts w:ascii="Times New Roman;Times;serif" w:hAnsi="Times New Roman;Times;serif"/>
          <w:sz w:val="20"/>
        </w:rPr>
        <w:t xml:space="preserve"> </w:t>
      </w:r>
      <w:r>
        <w:rPr>
          <w:rFonts w:ascii="Arial;Helvetica;sans-serif" w:hAnsi="Arial;Helvetica;sans-serif"/>
          <w:sz w:val="20"/>
        </w:rPr>
        <w:t>million and $0.3</w:t>
      </w:r>
      <w:r>
        <w:rPr>
          <w:rFonts w:ascii="Times New Roman;Times;serif" w:hAnsi="Times New Roman;Times;serif"/>
          <w:sz w:val="20"/>
        </w:rPr>
        <w:t xml:space="preserve"> </w:t>
      </w:r>
      <w:r>
        <w:rPr>
          <w:rFonts w:ascii="Arial;Helvetica;sans-serif" w:hAnsi="Arial;Helvetica;sans-serif"/>
          <w:sz w:val="20"/>
        </w:rPr>
        <w:t>million for the three months ended June 30, 2026 and 2025, respectively, and $0.8</w:t>
      </w:r>
      <w:r>
        <w:rPr>
          <w:rFonts w:ascii="Times New Roman;Times;serif" w:hAnsi="Times New Roman;Times;serif"/>
          <w:sz w:val="20"/>
        </w:rPr>
        <w:t xml:space="preserve"> </w:t>
      </w:r>
      <w:r>
        <w:rPr>
          <w:rFonts w:ascii="Arial;Helvetica;sans-serif" w:hAnsi="Arial;Helvetica;sans-serif"/>
          <w:sz w:val="20"/>
        </w:rPr>
        <w:t>million and $0.6</w:t>
      </w:r>
      <w:r>
        <w:rPr>
          <w:rFonts w:ascii="Times New Roman;Times;serif" w:hAnsi="Times New Roman;Times;serif"/>
          <w:sz w:val="20"/>
        </w:rPr>
        <w:t xml:space="preserve"> </w:t>
      </w:r>
      <w:r>
        <w:rPr>
          <w:rFonts w:ascii="Arial;Helvetica;sans-serif" w:hAnsi="Arial;Helvetica;sans-serif"/>
          <w:sz w:val="20"/>
        </w:rPr>
        <w:t>million for the six months ended June 30, 2026 and 2025, respectively, was recorded in cost of sales revenue. Future amortization expenses are expected as follows:</w:t>
      </w:r>
    </w:p>
    <w:p>
      <w:pPr>
        <w:pStyle w:val="TextBody"/>
        <w:bidi w:val="0"/>
        <w:spacing w:before="0" w:after="0"/>
        <w:ind w:left="0" w:right="0" w:hanging="0"/>
        <w:jc w:val="left"/>
        <w:rPr/>
      </w:pPr>
      <w:r>
        <w:rPr/>
        <w:t>​</w:t>
      </w:r>
    </w:p>
    <w:tbl>
      <w:tblPr>
        <w:tblW w:w="3934" w:type="dxa"/>
        <w:jc w:val="left"/>
        <w:tblInd w:w="0" w:type="dxa"/>
        <w:tblLayout w:type="fixed"/>
        <w:tblCellMar>
          <w:top w:w="0" w:type="dxa"/>
          <w:left w:w="0" w:type="dxa"/>
          <w:bottom w:w="0" w:type="dxa"/>
          <w:right w:w="0" w:type="dxa"/>
        </w:tblCellMar>
      </w:tblPr>
      <w:tblGrid>
        <w:gridCol w:w="2581"/>
        <w:gridCol w:w="346"/>
        <w:gridCol w:w="211"/>
        <w:gridCol w:w="79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638935" cy="175895"/>
                      <wp:effectExtent l="0" t="0" r="0" b="0"/>
                      <wp:wrapNone/>
                      <wp:docPr id="81" name="Frame81"/>
                      <a:graphic xmlns:a="http://schemas.openxmlformats.org/drawingml/2006/main">
                        <a:graphicData uri="http://schemas.microsoft.com/office/word/2010/wordprocessingShape">
                          <wps:wsp>
                            <wps:cNvSpPr txBox="1"/>
                            <wps:spPr>
                              <a:xfrm>
                                <a:off x="0" y="0"/>
                                <a:ext cx="1638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895"/>
                      <wp:effectExtent l="0" t="0" r="0" b="0"/>
                      <wp:wrapNone/>
                      <wp:docPr id="82" name="Frame8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895"/>
                      <wp:effectExtent l="0" t="0" r="0" b="0"/>
                      <wp:wrapNone/>
                      <wp:docPr id="83" name="Frame8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05460" cy="175895"/>
                      <wp:effectExtent l="0" t="0" r="0" b="0"/>
                      <wp:wrapNone/>
                      <wp:docPr id="84" name="Frame84"/>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581"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r>
      <w:tr>
        <w:trPr/>
        <w:tc>
          <w:tcPr>
            <w:tcW w:w="25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2026 (July 1 - December 31)</w:t>
            </w:r>
          </w:p>
        </w:tc>
        <w:tc>
          <w:tcPr>
            <w:tcW w:w="346" w:type="dxa"/>
            <w:tcBorders/>
            <w:shd w:fill="CCEEFF" w:val="clear"/>
            <w:vAlign w:val="center"/>
          </w:tcPr>
          <w:p>
            <w:pPr>
              <w:pStyle w:val="TableContents"/>
              <w:bidi w:val="0"/>
              <w:spacing w:before="1" w:after="1"/>
              <w:ind w:left="0" w:right="0" w:hanging="0"/>
              <w:jc w:val="left"/>
              <w:rPr/>
            </w:pPr>
            <w:r>
              <w:rPr/>
              <w:t>  ​ ​ ​</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2,518</w:t>
            </w:r>
          </w:p>
        </w:tc>
      </w:tr>
      <w:tr>
        <w:trPr/>
        <w:tc>
          <w:tcPr>
            <w:tcW w:w="258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5,405</w:t>
            </w:r>
          </w:p>
        </w:tc>
      </w:tr>
      <w:tr>
        <w:trPr/>
        <w:tc>
          <w:tcPr>
            <w:tcW w:w="25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2028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 </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5,404</w:t>
            </w:r>
          </w:p>
        </w:tc>
      </w:tr>
      <w:tr>
        <w:trPr/>
        <w:tc>
          <w:tcPr>
            <w:tcW w:w="258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2029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right"/>
              <w:rPr/>
            </w:pPr>
            <w:r>
              <w:rPr/>
              <w:t> </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4,536</w:t>
            </w:r>
          </w:p>
        </w:tc>
      </w:tr>
      <w:tr>
        <w:trPr/>
        <w:tc>
          <w:tcPr>
            <w:tcW w:w="25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2030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 </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4,100</w:t>
            </w:r>
          </w:p>
        </w:tc>
      </w:tr>
      <w:tr>
        <w:trPr/>
        <w:tc>
          <w:tcPr>
            <w:tcW w:w="258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Thereafter</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13,079</w:t>
            </w:r>
          </w:p>
        </w:tc>
      </w:tr>
      <w:tr>
        <w:trPr/>
        <w:tc>
          <w:tcPr>
            <w:tcW w:w="25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35,042</w:t>
            </w:r>
          </w:p>
        </w:tc>
      </w:tr>
    </w:tbl>
    <w:p>
      <w:pPr>
        <w:pStyle w:val="TextBody"/>
        <w:bidi w:val="0"/>
        <w:spacing w:before="0" w:after="0"/>
        <w:ind w:left="0" w:right="0" w:hanging="0"/>
        <w:jc w:val="left"/>
        <w:rPr/>
      </w:pPr>
      <w:r>
        <w:rPr/>
        <w:t>​</w:t>
      </w:r>
    </w:p>
    <w:p>
      <w:pPr>
        <w:pStyle w:val="TextBody"/>
        <w:shd w:fill="FFFFFF" w:val="clear"/>
        <w:bidi w:val="0"/>
        <w:spacing w:before="280" w:after="0"/>
        <w:ind w:left="0" w:right="0" w:firstLine="720"/>
        <w:jc w:val="both"/>
        <w:rPr>
          <w:rFonts w:ascii="Arial;Helvetica;sans-serif" w:hAnsi="Arial;Helvetica;sans-serif"/>
          <w:sz w:val="20"/>
        </w:rPr>
      </w:pPr>
      <w:r>
        <w:rPr>
          <w:rFonts w:ascii="Arial;Helvetica;sans-serif" w:hAnsi="Arial;Helvetica;sans-serif"/>
          <w:sz w:val="20"/>
        </w:rPr>
        <w:t xml:space="preserve">In the third quarter of 2025, we performed our annual goodwill impairment test utilizing both the qualitative and quantitative approach described in FASB ASU No. 2021-03, “Intangibles—Goodwill and Other (Topic 350) – Accounting Alternative for Evaluating Triggering Events.” Based on the testing using the qualitative approach, it was determined that it was not more likely than not that the fair value of the reporting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Times New Roman;Times;serif" w:hAnsi="Times New Roman;Times;serif"/>
          <w:sz w:val="20"/>
        </w:rPr>
      </w:pPr>
      <w:r>
        <w:rPr>
          <w:rFonts w:ascii="Arial;Helvetica;sans-serif" w:hAnsi="Arial;Helvetica;sans-serif"/>
          <w:sz w:val="20"/>
        </w:rPr>
        <w:t>unit was less than the carrying value. As a result, it was not deemed necessary to proceed to the quantitative test and no</w:t>
      </w:r>
      <w:r>
        <w:rPr>
          <w:rFonts w:ascii="Times New Roman;Times;serif" w:hAnsi="Times New Roman;Times;serif"/>
          <w:sz w:val="20"/>
        </w:rPr>
        <w:t xml:space="preserve"> </w:t>
      </w:r>
      <w:r>
        <w:rPr>
          <w:rFonts w:ascii="Arial;Helvetica;sans-serif" w:hAnsi="Arial;Helvetica;sans-serif"/>
          <w:sz w:val="20"/>
        </w:rPr>
        <w:t>impairment was recognized.</w:t>
      </w:r>
    </w:p>
    <w:p>
      <w:pPr>
        <w:pStyle w:val="TextBody"/>
        <w:pBdr/>
        <w:shd w:fill="FFFFFF" w:val="clear"/>
        <w:bidi w:val="0"/>
        <w:spacing w:before="0" w:after="0"/>
        <w:ind w:left="0" w:right="0" w:hanging="0"/>
        <w:jc w:val="both"/>
        <w:rPr>
          <w:rFonts w:ascii="Arial;Helvetica;sans-serif" w:hAnsi="Arial;Helvetica;sans-serif"/>
          <w:b/>
          <w:sz w:val="20"/>
        </w:rPr>
      </w:pPr>
      <w:bookmarkStart w:id="758" w:name="Tc_IeDnAQAagUqkeyCvrsb7kg_9_5"/>
      <w:bookmarkStart w:id="759" w:name="Tc_2QI6YK9f5EC3529tAP5Jew_9_2"/>
      <w:bookmarkStart w:id="760" w:name="Tc_hcfd_LfpPEerqT7-o3twxA_9_0"/>
      <w:bookmarkStart w:id="761" w:name="Tc_5CvqkPTqaEqzRSfQzuqtqA_8_0"/>
      <w:bookmarkStart w:id="762" w:name="Tc_o-jw7nL7OU6PfK_vctLRdw_7_0"/>
      <w:bookmarkStart w:id="763" w:name="Tc_ZV6iy4SIOUmpZYBHQIQt9w_6_0"/>
      <w:bookmarkStart w:id="764" w:name="Tc_pigPWgac0Eq1vfOTbHonzg_5_0"/>
      <w:bookmarkStart w:id="765" w:name="Tc_tX7986KL5E-WFdAcTXg4mg_4_0"/>
      <w:bookmarkStart w:id="766" w:name="Tc_fZcCSOla7UWS_Wt7TNyJmw_3_5"/>
      <w:bookmarkStart w:id="767" w:name="Tc_sKY5lMLYQESCvY2qIuzkyg_3_2"/>
      <w:bookmarkStart w:id="768" w:name="Tc_p7WXXhXLn0OoL2tfCL0V_Q_3_0"/>
      <w:bookmarkStart w:id="769" w:name="Tc_6xq2t26zikmJ2aP3BqMs0Q_2_0"/>
      <w:bookmarkStart w:id="770" w:name="Tc_BQHnY43H1k22hfURQDvf_g_1_5"/>
      <w:bookmarkStart w:id="771" w:name="Tc_VEsc8An32Ui_Eb2pwRVdhg_1_2"/>
      <w:bookmarkStart w:id="772" w:name="Tc_pytOTY8QB0udOdQ6gMzbRw_1_0"/>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Arial;Helvetica;sans-serif" w:hAnsi="Arial;Helvetica;sans-serif"/>
          <w:b/>
          <w:sz w:val="20"/>
        </w:rPr>
        <w:t>Note 6. Accrued Expenses</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Accrued expenses consisted of the following:</w:t>
      </w:r>
    </w:p>
    <w:p>
      <w:pPr>
        <w:pStyle w:val="TextBody"/>
        <w:bidi w:val="0"/>
        <w:spacing w:before="0" w:after="0"/>
        <w:ind w:left="0" w:right="0" w:hanging="0"/>
        <w:jc w:val="left"/>
        <w:rPr/>
      </w:pPr>
      <w:r>
        <w:rPr/>
        <w:t>​</w:t>
      </w:r>
    </w:p>
    <w:tbl>
      <w:tblPr>
        <w:tblW w:w="6363" w:type="dxa"/>
        <w:jc w:val="left"/>
        <w:tblInd w:w="0" w:type="dxa"/>
        <w:tblLayout w:type="fixed"/>
        <w:tblCellMar>
          <w:top w:w="0" w:type="dxa"/>
          <w:left w:w="0" w:type="dxa"/>
          <w:bottom w:w="0" w:type="dxa"/>
          <w:right w:w="0" w:type="dxa"/>
        </w:tblCellMar>
      </w:tblPr>
      <w:tblGrid>
        <w:gridCol w:w="1906"/>
        <w:gridCol w:w="346"/>
        <w:gridCol w:w="428"/>
        <w:gridCol w:w="1192"/>
        <w:gridCol w:w="346"/>
        <w:gridCol w:w="501"/>
        <w:gridCol w:w="1644"/>
      </w:tblGrid>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644" w:type="dxa"/>
            <w:tcBorders/>
            <w:vAlign w:val="center"/>
          </w:tcPr>
          <w:p>
            <w:pPr>
              <w:pStyle w:val="TableContents"/>
              <w:bidi w:val="0"/>
              <w:spacing w:before="0" w:after="0"/>
              <w:ind w:left="0" w:right="0" w:hanging="0"/>
              <w:jc w:val="left"/>
              <w:rPr/>
            </w:pPr>
            <w:r>
              <w:rPr/>
              <w:t>​</w:t>
            </w:r>
          </w:p>
        </w:tc>
      </w:tr>
      <w:tr>
        <w:trPr/>
        <w:tc>
          <w:tcPr>
            <w:tcW w:w="19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At June 30, 2026</w:t>
            </w:r>
          </w:p>
        </w:tc>
        <w:tc>
          <w:tcPr>
            <w:tcW w:w="346" w:type="dxa"/>
            <w:tcBorders/>
            <w:vAlign w:val="center"/>
          </w:tcPr>
          <w:p>
            <w:pPr>
              <w:pStyle w:val="TableContents"/>
              <w:bidi w:val="0"/>
              <w:spacing w:before="0" w:after="0"/>
              <w:ind w:left="0" w:right="0" w:hanging="0"/>
              <w:jc w:val="left"/>
              <w:rPr/>
            </w:pPr>
            <w:r>
              <w:rPr/>
              <w:t>  ​ ​ ​</w:t>
            </w:r>
          </w:p>
        </w:tc>
        <w:tc>
          <w:tcPr>
            <w:tcW w:w="2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At December 31, 2025</w:t>
            </w:r>
          </w:p>
        </w:tc>
      </w:tr>
      <w:tr>
        <w:trPr/>
        <w:tc>
          <w:tcPr>
            <w:tcW w:w="19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Legal and consulting</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2,266</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16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1,285</w:t>
            </w:r>
          </w:p>
        </w:tc>
      </w:tr>
      <w:tr>
        <w:trPr/>
        <w:tc>
          <w:tcPr>
            <w:tcW w:w="19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use tax</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1,527</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1,837</w:t>
            </w:r>
          </w:p>
        </w:tc>
      </w:tr>
      <w:tr>
        <w:trPr/>
        <w:tc>
          <w:tcPr>
            <w:tcW w:w="19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Travel</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1,282</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16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1,424</w:t>
            </w:r>
          </w:p>
        </w:tc>
      </w:tr>
      <w:tr>
        <w:trPr/>
        <w:tc>
          <w:tcPr>
            <w:tcW w:w="19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In-transit inventory</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1,106</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6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1,931</w:t>
            </w:r>
          </w:p>
        </w:tc>
      </w:tr>
      <w:tr>
        <w:trPr/>
        <w:tc>
          <w:tcPr>
            <w:tcW w:w="19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Warranty</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1,104</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164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1,285</w:t>
            </w:r>
          </w:p>
        </w:tc>
      </w:tr>
      <w:tr>
        <w:trPr/>
        <w:tc>
          <w:tcPr>
            <w:tcW w:w="19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Clinical studies</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64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w:t>
            </w:r>
          </w:p>
        </w:tc>
      </w:tr>
      <w:tr>
        <w:trPr/>
        <w:tc>
          <w:tcPr>
            <w:tcW w:w="19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1,100</w:t>
            </w:r>
          </w:p>
        </w:tc>
        <w:tc>
          <w:tcPr>
            <w:tcW w:w="346" w:type="dxa"/>
            <w:tcBorders/>
            <w:shd w:fill="CCEEFF" w:val="cle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705</w:t>
            </w:r>
          </w:p>
        </w:tc>
      </w:tr>
      <w:tr>
        <w:trPr/>
        <w:tc>
          <w:tcPr>
            <w:tcW w:w="19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8,423</w:t>
            </w:r>
          </w:p>
        </w:tc>
        <w:tc>
          <w:tcPr>
            <w:tcW w:w="346" w:type="dxa"/>
            <w:tcBorders/>
            <w:vAlign w:val="center"/>
          </w:tcPr>
          <w:p>
            <w:pPr>
              <w:pStyle w:val="TableContents"/>
              <w:bidi w:val="0"/>
              <w:spacing w:before="0" w:after="0"/>
              <w:ind w:left="0" w:right="0" w:hanging="0"/>
              <w:jc w:val="left"/>
              <w:rPr/>
            </w:pPr>
            <w:r>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44"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8,531</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pBdr/>
        <w:bidi w:val="0"/>
        <w:spacing w:before="0" w:after="0"/>
        <w:ind w:left="0" w:right="0" w:hanging="0"/>
        <w:jc w:val="both"/>
        <w:rPr>
          <w:rFonts w:ascii="Arial;Helvetica;sans-serif" w:hAnsi="Arial;Helvetica;sans-serif"/>
          <w:b/>
          <w:sz w:val="20"/>
        </w:rPr>
      </w:pPr>
      <w:bookmarkStart w:id="773" w:name="Tc_YI7bBb77RESbBxdgCyToMA_11_11"/>
      <w:bookmarkStart w:id="774" w:name="Tc_qZmVv7O4ZUyr0NlSNCMkDQ_11_8"/>
      <w:bookmarkStart w:id="775" w:name="Tc_-G-o7LGkgkmPIH6FEAgjCw_11_5"/>
      <w:bookmarkStart w:id="776" w:name="Tc_snPgZMfSk0eKDwROL71y_w_11_2"/>
      <w:bookmarkStart w:id="777" w:name="Tc_2O8h2G5gKEK33Hcoy5LtEQ_11_0"/>
      <w:bookmarkStart w:id="778" w:name="Tc_RRlP8H4c40GNG_E5Juir6g_10_0"/>
      <w:bookmarkStart w:id="779" w:name="Tc_ifd7Z0_NjkiBYUFyZrlcqQ_9_11"/>
      <w:bookmarkStart w:id="780" w:name="Tc_hnz3jdF48kukpG36S3wQ9w_9_8"/>
      <w:bookmarkStart w:id="781" w:name="Tc_CC5kbWeURUiZasBnmxFuUA_9_5"/>
      <w:bookmarkStart w:id="782" w:name="Tc_xLw6q61Gl06qR4wBQoB2dQ_9_2"/>
      <w:bookmarkStart w:id="783" w:name="Tc_PTmmeY7lPku2z10Z_SuC2g_9_0"/>
      <w:bookmarkStart w:id="784" w:name="Tc_SaxUdvxiH0OHFaj_TMlG-A_7_11"/>
      <w:bookmarkStart w:id="785" w:name="Tc_q7ZHWf86PE--VpHHKW5dQg_7_8"/>
      <w:bookmarkStart w:id="786" w:name="Tc_n6YOzaIEjUi-oLEBa4GL9w_7_5"/>
      <w:bookmarkStart w:id="787" w:name="Tc_M1QstcTzSUGPAL3dKIXEIA_7_2"/>
      <w:bookmarkStart w:id="788" w:name="Tc_DmdL-OqQM0-yr1DPqV8srA_7_0"/>
      <w:bookmarkStart w:id="789" w:name="Tc_Qh-eLSaLAEGdAzfc7fodiw_6_0"/>
      <w:bookmarkStart w:id="790" w:name="Tc_A365WP3bd0aj7Z561RJa9A_5_0"/>
      <w:bookmarkStart w:id="791" w:name="Tc_zoRdQlOScUWp3A43hmuOiA_4_11"/>
      <w:bookmarkStart w:id="792" w:name="Tc_YNKdzZTCNEOv7rJ1G9j2Mg_4_8"/>
      <w:bookmarkStart w:id="793" w:name="Tc_aEwQtp7Zy0-Chg349onHhw_4_5"/>
      <w:bookmarkStart w:id="794" w:name="Tc_0sBs5yvOe06-I0WFrCOQ_w_4_2"/>
      <w:bookmarkStart w:id="795" w:name="Tc_Hn1bGbEq6k2u9r-lpY6l1Q_4_0"/>
      <w:bookmarkStart w:id="796" w:name="Tc_MKKpCjFqS02ISlBSeo-tcg_3_11"/>
      <w:bookmarkStart w:id="797" w:name="Tc_F8yhBzZMRU2tHRz41V_6qw_3_8"/>
      <w:bookmarkStart w:id="798" w:name="Tc_RGaOAWoGbkqj2_CkE2NyGw_3_5"/>
      <w:bookmarkStart w:id="799" w:name="Tc_ol98Ce84JEqnrrZp8-qeOg_3_2"/>
      <w:bookmarkStart w:id="800" w:name="Tc_YZQX2pE9lkC107SHEd4w4Q_3_0"/>
      <w:bookmarkStart w:id="801" w:name="Tc_j9JTWsaMbk-e7xFchDeeug_2_8"/>
      <w:bookmarkStart w:id="802" w:name="Tc_xkp4zoi_3EiF9Lsf3gfvjw_2_2"/>
      <w:bookmarkStart w:id="803" w:name="Tc_CIHfW1OtZkmozMh6Q2gwFw_1_8"/>
      <w:bookmarkStart w:id="804" w:name="Tc_J2RhMb_tOEyyD6ZZyU2-4g_1_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Pr>
          <w:rFonts w:ascii="Arial;Helvetica;sans-serif" w:hAnsi="Arial;Helvetica;sans-serif"/>
          <w:b/>
          <w:sz w:val="20"/>
        </w:rPr>
        <w:t>Note 7. Warranty Reserves</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activity in the warranty reserve during and as of the end of the reporting periods presented was as follows:</w:t>
      </w:r>
    </w:p>
    <w:p>
      <w:pPr>
        <w:pStyle w:val="TextBody"/>
        <w:bidi w:val="0"/>
        <w:spacing w:before="0" w:after="0"/>
        <w:ind w:left="0" w:right="0" w:hanging="0"/>
        <w:jc w:val="left"/>
        <w:rPr/>
      </w:pPr>
      <w:r>
        <w:rPr/>
        <w:t>​</w:t>
      </w:r>
    </w:p>
    <w:tbl>
      <w:tblPr>
        <w:tblW w:w="8391" w:type="dxa"/>
        <w:jc w:val="left"/>
        <w:tblInd w:w="0" w:type="dxa"/>
        <w:tblLayout w:type="fixed"/>
        <w:tblCellMar>
          <w:top w:w="0" w:type="dxa"/>
          <w:left w:w="0" w:type="dxa"/>
          <w:bottom w:w="0" w:type="dxa"/>
          <w:right w:w="0" w:type="dxa"/>
        </w:tblCellMar>
      </w:tblPr>
      <w:tblGrid>
        <w:gridCol w:w="3436"/>
        <w:gridCol w:w="346"/>
        <w:gridCol w:w="221"/>
        <w:gridCol w:w="616"/>
        <w:gridCol w:w="364"/>
        <w:gridCol w:w="221"/>
        <w:gridCol w:w="616"/>
        <w:gridCol w:w="346"/>
        <w:gridCol w:w="211"/>
        <w:gridCol w:w="706"/>
        <w:gridCol w:w="346"/>
        <w:gridCol w:w="211"/>
        <w:gridCol w:w="75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81860" cy="175260"/>
                      <wp:effectExtent l="0" t="0" r="0" b="0"/>
                      <wp:wrapNone/>
                      <wp:docPr id="85" name="Frame85"/>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0335" cy="175260"/>
                      <wp:effectExtent l="0" t="0" r="0" b="0"/>
                      <wp:wrapNone/>
                      <wp:docPr id="87" name="Frame8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91160" cy="175260"/>
                      <wp:effectExtent l="0" t="0" r="0" b="0"/>
                      <wp:wrapNone/>
                      <wp:docPr id="88" name="Frame8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31140" cy="175260"/>
                      <wp:effectExtent l="0" t="0" r="0" b="0"/>
                      <wp:wrapNone/>
                      <wp:docPr id="89" name="Frame8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0335" cy="175260"/>
                      <wp:effectExtent l="0" t="0" r="0" b="0"/>
                      <wp:wrapNone/>
                      <wp:docPr id="90" name="Frame9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91160" cy="175260"/>
                      <wp:effectExtent l="0" t="0" r="0" b="0"/>
                      <wp:wrapNone/>
                      <wp:docPr id="91" name="Frame9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48310" cy="175260"/>
                      <wp:effectExtent l="0" t="0" r="0" b="0"/>
                      <wp:wrapNone/>
                      <wp:docPr id="94" name="Frame9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76885" cy="175260"/>
                      <wp:effectExtent l="0" t="0" r="0" b="0"/>
                      <wp:wrapNone/>
                      <wp:docPr id="97" name="Frame9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38"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64" w:type="dxa"/>
            <w:tcBorders/>
            <w:vAlign w:val="center"/>
          </w:tcPr>
          <w:p>
            <w:pPr>
              <w:pStyle w:val="TableContents"/>
              <w:bidi w:val="0"/>
              <w:spacing w:before="0" w:after="0"/>
              <w:ind w:left="0" w:right="0" w:hanging="0"/>
              <w:jc w:val="left"/>
              <w:rPr/>
            </w:pPr>
            <w:r>
              <w:rPr/>
              <w:t>  ​ ​ ​</w:t>
            </w:r>
          </w:p>
        </w:tc>
        <w:tc>
          <w:tcPr>
            <w:tcW w:w="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4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2,253</w:t>
            </w:r>
          </w:p>
        </w:tc>
        <w:tc>
          <w:tcPr>
            <w:tcW w:w="364"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2,993</w:t>
            </w:r>
          </w:p>
        </w:tc>
      </w:tr>
      <w:tr>
        <w:trPr/>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Warranty provision</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494</w:t>
            </w:r>
          </w:p>
        </w:tc>
        <w:tc>
          <w:tcPr>
            <w:tcW w:w="364"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921</w:t>
            </w:r>
          </w:p>
        </w:tc>
      </w:tr>
      <w:tr>
        <w:trPr/>
        <w:tc>
          <w:tcPr>
            <w:tcW w:w="34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Processed warranty claims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(564)</w:t>
            </w:r>
          </w:p>
        </w:tc>
        <w:tc>
          <w:tcPr>
            <w:tcW w:w="364"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(1,278)</w:t>
            </w:r>
          </w:p>
        </w:tc>
      </w:tr>
      <w:tr>
        <w:trPr/>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2,183</w:t>
            </w:r>
          </w:p>
        </w:tc>
        <w:tc>
          <w:tcPr>
            <w:tcW w:w="364"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2,636</w:t>
            </w:r>
          </w:p>
        </w:tc>
      </w:tr>
      <w:tr>
        <w:trPr/>
        <w:tc>
          <w:tcPr>
            <w:tcW w:w="3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color w:val="FF0000"/>
              </w:rPr>
            </w:pPr>
            <w:r>
              <w:rPr>
                <w:color w:val="FF0000"/>
              </w:rPr>
              <w:t>​</w:t>
            </w:r>
          </w:p>
        </w:tc>
      </w:tr>
      <w:tr>
        <w:trPr/>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warranty reserve, current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1,104</w:t>
            </w:r>
          </w:p>
        </w:tc>
        <w:tc>
          <w:tcPr>
            <w:tcW w:w="364"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1,395</w:t>
            </w:r>
          </w:p>
        </w:tc>
      </w:tr>
      <w:tr>
        <w:trPr/>
        <w:tc>
          <w:tcPr>
            <w:tcW w:w="34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warranty reserve,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1,079</w:t>
            </w:r>
          </w:p>
        </w:tc>
        <w:tc>
          <w:tcPr>
            <w:tcW w:w="364"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1,241</w:t>
            </w:r>
          </w:p>
        </w:tc>
      </w:tr>
      <w:tr>
        <w:trPr/>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accrued warranty reserve</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2,183</w:t>
            </w:r>
          </w:p>
        </w:tc>
        <w:tc>
          <w:tcPr>
            <w:tcW w:w="364"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2,636</w:t>
            </w:r>
          </w:p>
        </w:tc>
      </w:tr>
    </w:tbl>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Arial;Helvetica;sans-serif" w:hAnsi="Arial;Helvetica;sans-serif"/>
          <w:b/>
          <w:sz w:val="20"/>
        </w:rPr>
      </w:pPr>
      <w:r>
        <w:rPr>
          <w:rFonts w:ascii="Arial;Helvetica;sans-serif" w:hAnsi="Arial;Helvetica;sans-serif"/>
          <w:b/>
          <w:sz w:val="20"/>
        </w:rPr>
        <w:t xml:space="preserve">Note 8. Credit Agreement </w:t>
      </w:r>
    </w:p>
    <w:p>
      <w:pPr>
        <w:pStyle w:val="TextBody"/>
        <w:bidi w:val="0"/>
        <w:spacing w:before="280" w:after="0"/>
        <w:ind w:left="0" w:right="0" w:firstLine="720"/>
        <w:jc w:val="both"/>
        <w:rPr>
          <w:rFonts w:ascii="Times New Roman;Times;serif" w:hAnsi="Times New Roman;Times;serif"/>
          <w:sz w:val="20"/>
        </w:rPr>
      </w:pPr>
      <w:r>
        <w:rPr>
          <w:rFonts w:ascii="Arial;Helvetica;sans-serif" w:hAnsi="Arial;Helvetica;sans-serif"/>
          <w:sz w:val="20"/>
        </w:rPr>
        <w:t>On July 31, 2025, we entered into an Amended and Restated Credit Agreement with the lenders from time to time party thereto, and Wells Fargo Bank, National Association, as administrative agent (the “2025 Credit Agreement”), which amended and restated the credit agreement that we had in place prior to that time (the “Prior Credit Agreement”). The 2025 Credit Agreement provides for a $40.0</w:t>
      </w:r>
      <w:r>
        <w:rPr>
          <w:rFonts w:ascii="Times New Roman;Times;serif" w:hAnsi="Times New Roman;Times;serif"/>
          <w:sz w:val="20"/>
        </w:rPr>
        <w:t xml:space="preserve"> </w:t>
      </w:r>
      <w:r>
        <w:rPr>
          <w:rFonts w:ascii="Arial;Helvetica;sans-serif" w:hAnsi="Arial;Helvetica;sans-serif"/>
          <w:sz w:val="20"/>
        </w:rPr>
        <w:t>million revolving credit facility with a scheduled maturity date of July 31, 2028.</w:t>
      </w:r>
    </w:p>
    <w:p>
      <w:pPr>
        <w:pStyle w:val="TextBody"/>
        <w:bidi w:val="0"/>
        <w:spacing w:before="280" w:after="0"/>
        <w:ind w:left="0" w:right="0" w:firstLine="720"/>
        <w:jc w:val="both"/>
        <w:rPr>
          <w:rFonts w:ascii="Times New Roman;Times;serif" w:hAnsi="Times New Roman;Times;serif"/>
          <w:sz w:val="20"/>
        </w:rPr>
      </w:pPr>
      <w:r>
        <w:rPr>
          <w:rFonts w:ascii="Arial;Helvetica;sans-serif" w:hAnsi="Arial;Helvetica;sans-serif"/>
          <w:sz w:val="20"/>
        </w:rPr>
        <w:t>In connection with the entry into the 2025 Credit Agreement, on July 31, 2025, we paid off the full amount outstanding under the term loan that was outstanding under the Prior Credit Agreement, which was $24.4</w:t>
      </w:r>
      <w:r>
        <w:rPr>
          <w:rFonts w:ascii="Times New Roman;Times;serif" w:hAnsi="Times New Roman;Times;serif"/>
          <w:sz w:val="20"/>
        </w:rPr>
        <w:t xml:space="preserve"> </w:t>
      </w:r>
      <w:r>
        <w:rPr>
          <w:rFonts w:ascii="Arial;Helvetica;sans-serif" w:hAnsi="Arial;Helvetica;sans-serif"/>
          <w:sz w:val="20"/>
        </w:rPr>
        <w:t>million (inclusive of principal and interest), using cash on hand. The term loan had been reflected on our condensed consolidated financial statements as a note payable. The 2025 Credit Agreement removed the provisions from the Prior Credit Agreement related to a committed term loan, such that the only term loan related provisions in the 2025 Credit Agreement relate to our ability to request uncommitted incremental term loan facilities and/or an increase in the amount of the revolving loans available under the 2025 Credit Agreement in an amount not to exceed $25.0</w:t>
      </w:r>
      <w:r>
        <w:rPr>
          <w:rFonts w:ascii="Times New Roman;Times;serif" w:hAnsi="Times New Roman;Times;serif"/>
          <w:sz w:val="20"/>
        </w:rPr>
        <w:t xml:space="preserve"> </w:t>
      </w:r>
      <w:r>
        <w:rPr>
          <w:rFonts w:ascii="Arial;Helvetica;sans-serif" w:hAnsi="Arial;Helvetica;sans-serif"/>
          <w:sz w:val="20"/>
        </w:rPr>
        <w:t>million in the aggregate, subject to the satisfaction of certain conditions.</w:t>
      </w:r>
    </w:p>
    <w:p>
      <w:pPr>
        <w:pStyle w:val="TextBody"/>
        <w:bidi w:val="0"/>
        <w:spacing w:before="280" w:after="0"/>
        <w:ind w:left="0" w:right="0" w:firstLine="720"/>
        <w:jc w:val="both"/>
        <w:rPr>
          <w:rFonts w:ascii="Times New Roman;Times;serif" w:hAnsi="Times New Roman;Times;serif"/>
          <w:sz w:val="20"/>
        </w:rPr>
      </w:pPr>
      <w:r>
        <w:rPr>
          <w:rFonts w:ascii="Arial;Helvetica;sans-serif" w:hAnsi="Arial;Helvetica;sans-serif"/>
          <w:sz w:val="20"/>
        </w:rPr>
        <w:t>Amounts drawn under the revolving credit facility bear interest, at our option, at a rate equal to (a) the highest of (i) the prime rate, (ii) the federal funds rate plus 0.50%</w:t>
      </w:r>
      <w:r>
        <w:rPr>
          <w:rFonts w:ascii="Times New Roman;Times;serif" w:hAnsi="Times New Roman;Times;serif"/>
          <w:sz w:val="20"/>
        </w:rPr>
        <w:t xml:space="preserve"> </w:t>
      </w:r>
      <w:r>
        <w:rPr>
          <w:rFonts w:ascii="Arial;Helvetica;sans-serif" w:hAnsi="Arial;Helvetica;sans-serif"/>
          <w:sz w:val="20"/>
        </w:rPr>
        <w:t>and (iii) Adjusted Term SOFR (defined as term Secured Overnight Financing Rate) for a one-month tenor plus 1%</w:t>
      </w:r>
      <w:r>
        <w:rPr>
          <w:rFonts w:ascii="Times New Roman;Times;serif" w:hAnsi="Times New Roman;Times;serif"/>
          <w:sz w:val="20"/>
        </w:rPr>
        <w:t xml:space="preserve"> </w:t>
      </w:r>
      <w:r>
        <w:rPr>
          <w:rFonts w:ascii="Arial;Helvetica;sans-serif" w:hAnsi="Arial;Helvetica;sans-serif"/>
          <w:sz w:val="20"/>
        </w:rPr>
        <w:t xml:space="preserve">(the “Base Rate”) plus an applicable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0" w:after="0"/>
        <w:ind w:left="0" w:right="0" w:hanging="0"/>
        <w:jc w:val="both"/>
        <w:rPr>
          <w:rFonts w:ascii="Times New Roman;Times;serif" w:hAnsi="Times New Roman;Times;serif"/>
          <w:sz w:val="20"/>
        </w:rPr>
      </w:pPr>
      <w:r>
        <w:rPr>
          <w:rFonts w:ascii="Arial;Helvetica;sans-serif" w:hAnsi="Arial;Helvetica;sans-serif"/>
          <w:sz w:val="20"/>
        </w:rPr>
        <w:t>margin or (b) Adjusted Term SOFR for an interest period of one, three or six months, at our option, plus the applicable margin. The applicable margin is 0.75%</w:t>
      </w:r>
      <w:r>
        <w:rPr>
          <w:rFonts w:ascii="Times New Roman;Times;serif" w:hAnsi="Times New Roman;Times;serif"/>
          <w:sz w:val="20"/>
        </w:rPr>
        <w:t xml:space="preserve"> </w:t>
      </w:r>
      <w:r>
        <w:rPr>
          <w:rFonts w:ascii="Arial;Helvetica;sans-serif" w:hAnsi="Arial;Helvetica;sans-serif"/>
          <w:sz w:val="20"/>
        </w:rPr>
        <w:t>to 1.75%</w:t>
      </w:r>
      <w:r>
        <w:rPr>
          <w:rFonts w:ascii="Times New Roman;Times;serif" w:hAnsi="Times New Roman;Times;serif"/>
          <w:sz w:val="20"/>
        </w:rPr>
        <w:t xml:space="preserve"> </w:t>
      </w:r>
      <w:r>
        <w:rPr>
          <w:rFonts w:ascii="Arial;Helvetica;sans-serif" w:hAnsi="Arial;Helvetica;sans-serif"/>
          <w:sz w:val="20"/>
        </w:rPr>
        <w:t>on loans bearing interest at the Base Rate and 1.75%</w:t>
      </w:r>
      <w:r>
        <w:rPr>
          <w:rFonts w:ascii="Times New Roman;Times;serif" w:hAnsi="Times New Roman;Times;serif"/>
          <w:sz w:val="20"/>
        </w:rPr>
        <w:t xml:space="preserve"> </w:t>
      </w:r>
      <w:r>
        <w:rPr>
          <w:rFonts w:ascii="Arial;Helvetica;sans-serif" w:hAnsi="Arial;Helvetica;sans-serif"/>
          <w:sz w:val="20"/>
        </w:rPr>
        <w:t>to 2.75%</w:t>
      </w:r>
      <w:r>
        <w:rPr>
          <w:rFonts w:ascii="Times New Roman;Times;serif" w:hAnsi="Times New Roman;Times;serif"/>
          <w:sz w:val="20"/>
        </w:rPr>
        <w:t xml:space="preserve"> </w:t>
      </w:r>
      <w:r>
        <w:rPr>
          <w:rFonts w:ascii="Arial;Helvetica;sans-serif" w:hAnsi="Arial;Helvetica;sans-serif"/>
          <w:sz w:val="20"/>
        </w:rPr>
        <w:t>on loans bearing interest at Adjusted Term SOFR, in each case depending on our consolidated total leverage ratio.</w:t>
      </w:r>
    </w:p>
    <w:p>
      <w:pPr>
        <w:pStyle w:val="TextBody"/>
        <w:bidi w:val="0"/>
        <w:spacing w:before="280" w:after="0"/>
        <w:ind w:left="0" w:right="0" w:firstLine="720"/>
        <w:jc w:val="both"/>
        <w:rPr>
          <w:rFonts w:ascii="Times New Roman;Times;serif" w:hAnsi="Times New Roman;Times;serif"/>
          <w:sz w:val="20"/>
        </w:rPr>
      </w:pPr>
      <w:r>
        <w:rPr>
          <w:rFonts w:ascii="Arial;Helvetica;sans-serif" w:hAnsi="Arial;Helvetica;sans-serif"/>
          <w:sz w:val="20"/>
        </w:rPr>
        <w:t>The 2025 Credit Agreement provides for a commitment fee at a rate per annum ranging from 0.125%</w:t>
      </w:r>
      <w:r>
        <w:rPr>
          <w:rFonts w:ascii="Times New Roman;Times;serif" w:hAnsi="Times New Roman;Times;serif"/>
          <w:sz w:val="20"/>
        </w:rPr>
        <w:t xml:space="preserve"> </w:t>
      </w:r>
      <w:r>
        <w:rPr>
          <w:rFonts w:ascii="Arial;Helvetica;sans-serif" w:hAnsi="Arial;Helvetica;sans-serif"/>
          <w:sz w:val="20"/>
        </w:rPr>
        <w:t>to 0.250%</w:t>
      </w:r>
      <w:r>
        <w:rPr>
          <w:rFonts w:ascii="Times New Roman;Times;serif" w:hAnsi="Times New Roman;Times;serif"/>
          <w:sz w:val="20"/>
        </w:rPr>
        <w:t xml:space="preserve"> </w:t>
      </w:r>
      <w:r>
        <w:rPr>
          <w:rFonts w:ascii="Arial;Helvetica;sans-serif" w:hAnsi="Arial;Helvetica;sans-serif"/>
          <w:sz w:val="20"/>
        </w:rPr>
        <w:t xml:space="preserve">for the unused portion of the revolving credit facility, depending on our consolidated total leverage ratio. </w:t>
      </w:r>
    </w:p>
    <w:p>
      <w:pPr>
        <w:pStyle w:val="TextBody"/>
        <w:bidi w:val="0"/>
        <w:spacing w:before="280" w:after="0"/>
        <w:ind w:left="0" w:right="0" w:firstLine="720"/>
        <w:jc w:val="both"/>
        <w:rPr>
          <w:rFonts w:ascii="Times New Roman;Times;serif" w:hAnsi="Times New Roman;Times;serif"/>
          <w:sz w:val="20"/>
        </w:rPr>
      </w:pPr>
      <w:r>
        <w:rPr>
          <w:rFonts w:ascii="Arial;Helvetica;sans-serif" w:hAnsi="Arial;Helvetica;sans-serif"/>
          <w:sz w:val="20"/>
        </w:rPr>
        <w:t>The 2025 Credit Agreement includes financial covenants consisting of a maximum consolidated total leverage ratio covenant and a minimum fixed charge coverage ratio covenant. In addition, the 2025 Credit Agreement includes customary negative covenants, including a restricted payment covenant that permits the Company to repurchase shares of its common stock and make certain other payments, as long as the Company is not in default under the 2025 Credit Agreement, has a consolidated total leverage ratio of no greater than 1.75</w:t>
      </w:r>
      <w:r>
        <w:rPr>
          <w:rFonts w:ascii="Times New Roman;Times;serif" w:hAnsi="Times New Roman;Times;serif"/>
          <w:sz w:val="20"/>
        </w:rPr>
        <w:t xml:space="preserve"> </w:t>
      </w:r>
      <w:r>
        <w:rPr>
          <w:rFonts w:ascii="Arial;Helvetica;sans-serif" w:hAnsi="Arial;Helvetica;sans-serif"/>
          <w:sz w:val="20"/>
        </w:rPr>
        <w:t>to 1.00, and has liquidity of not less than $30.0</w:t>
      </w:r>
      <w:r>
        <w:rPr>
          <w:rFonts w:ascii="Times New Roman;Times;serif" w:hAnsi="Times New Roman;Times;serif"/>
          <w:sz w:val="20"/>
        </w:rPr>
        <w:t xml:space="preserve"> </w:t>
      </w:r>
      <w:r>
        <w:rPr>
          <w:rFonts w:ascii="Arial;Helvetica;sans-serif" w:hAnsi="Arial;Helvetica;sans-serif"/>
          <w:sz w:val="20"/>
        </w:rPr>
        <w:t>million, in each case both before and after giving effect to such stock repurchases or the making of such payments. As of June 30, 2026, we were in compliance with all covenants under the 2025 Credit Agreement.</w:t>
      </w:r>
    </w:p>
    <w:p>
      <w:pPr>
        <w:pStyle w:val="TextBody"/>
        <w:bidi w:val="0"/>
        <w:spacing w:before="280" w:after="0"/>
        <w:ind w:left="0" w:right="0" w:firstLine="720"/>
        <w:jc w:val="both"/>
        <w:rPr>
          <w:rFonts w:ascii="Arial;Helvetica;sans-serif" w:hAnsi="Arial;Helvetica;sans-serif"/>
          <w:sz w:val="20"/>
        </w:rPr>
      </w:pPr>
      <w:r>
        <w:rPr>
          <w:rFonts w:ascii="Arial;Helvetica;sans-serif" w:hAnsi="Arial;Helvetica;sans-serif"/>
          <w:sz w:val="20"/>
        </w:rPr>
        <w:t>Our obligations under the 2025 Credit Agreement are secured by a security interest in substantially all of our and our subsidiary’s assets and are also guaranteed by our subsidiary.</w:t>
      </w:r>
    </w:p>
    <w:p>
      <w:pPr>
        <w:pStyle w:val="TextBody"/>
        <w:pBdr/>
        <w:bidi w:val="0"/>
        <w:spacing w:before="280" w:after="0"/>
        <w:ind w:left="0" w:right="0" w:firstLine="720"/>
        <w:jc w:val="both"/>
        <w:rPr>
          <w:rFonts w:ascii="Times New Roman;Times;serif" w:hAnsi="Times New Roman;Times;serif"/>
          <w:sz w:val="20"/>
        </w:rPr>
      </w:pPr>
      <w:r>
        <w:rPr>
          <w:rFonts w:ascii="Arial;Helvetica;sans-serif" w:hAnsi="Arial;Helvetica;sans-serif"/>
          <w:sz w:val="20"/>
        </w:rPr>
        <w:t>As of June 30, 2026, we had no</w:t>
      </w:r>
      <w:r>
        <w:rPr>
          <w:rFonts w:ascii="Times New Roman;Times;serif" w:hAnsi="Times New Roman;Times;serif"/>
          <w:sz w:val="20"/>
        </w:rPr>
        <w:t xml:space="preserve"> </w:t>
      </w:r>
      <w:r>
        <w:rPr>
          <w:rFonts w:ascii="Arial;Helvetica;sans-serif" w:hAnsi="Arial;Helvetica;sans-serif"/>
          <w:sz w:val="20"/>
        </w:rPr>
        <w:t>outstanding borrowings under the 2025 Credit Agreement</w:t>
      </w:r>
      <w:r>
        <w:rPr>
          <w:rFonts w:ascii="Arial;Helvetica;sans-serif" w:hAnsi="Arial;Helvetica;sans-serif"/>
          <w:sz w:val="24"/>
        </w:rPr>
        <w:t>.</w:t>
      </w:r>
    </w:p>
    <w:p>
      <w:pPr>
        <w:pStyle w:val="TextBody"/>
        <w:pBdr/>
        <w:shd w:fill="FFFFFF" w:val="clear"/>
        <w:bidi w:val="0"/>
        <w:spacing w:before="0" w:after="0"/>
        <w:ind w:left="0" w:right="0" w:hanging="0"/>
        <w:jc w:val="both"/>
        <w:rPr>
          <w:rFonts w:ascii="Arial;Helvetica;sans-serif" w:hAnsi="Arial;Helvetica;sans-serif"/>
          <w:b/>
          <w:sz w:val="20"/>
        </w:rPr>
      </w:pPr>
      <w:r>
        <w:rPr>
          <w:rFonts w:ascii="Arial;Helvetica;sans-serif" w:hAnsi="Arial;Helvetica;sans-serif"/>
          <w:b/>
          <w:sz w:val="20"/>
        </w:rPr>
        <w:t>Note 9. Commitments and Contingencies</w:t>
      </w:r>
    </w:p>
    <w:p>
      <w:pPr>
        <w:pStyle w:val="TextBody"/>
        <w:pBdr/>
        <w:shd w:fill="FFFFFF" w:val="clear"/>
        <w:bidi w:val="0"/>
        <w:spacing w:before="0" w:after="240"/>
        <w:ind w:left="0" w:right="0" w:hanging="200"/>
        <w:jc w:val="both"/>
        <w:rPr>
          <w:rFonts w:ascii="Arial;Helvetica;sans-serif" w:hAnsi="Arial;Helvetica;sans-serif"/>
          <w:b/>
          <w:i/>
          <w:sz w:val="20"/>
        </w:rPr>
      </w:pPr>
      <w:r>
        <w:rPr>
          <w:rFonts w:ascii="Arial;Helvetica;sans-serif" w:hAnsi="Arial;Helvetica;sans-serif"/>
          <w:b/>
          <w:i/>
          <w:sz w:val="20"/>
        </w:rPr>
        <w:t>Lease Obligations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lease property and equipment under operating leases, typically with terms greater than 12 months, and determine if an arrangement contains a lease at inception. In general, an arrangement contains a lease if there is an identified asset and we have the right to direct the use of and obtain substantially all of the economic benefit from the use of the identified asset. We record an operating lease liability at the present value of lease payments over the lease term on the commencement date. The related right of use (“ROU”) operating lease asset reflects rental escalation clauses, as well as renewal options and/or termination options. The exercise of lease renewal and/or termination options are at our discretion and are included in the determination of the lease term and lease payment obligations when it is deemed reasonably certain that the option will be exercised. When available, we use the rate implicit in the lease to discount lease payments to present value; however, certain leases do not provide a readily determinable implicit rate. Therefore, we must estimate our incremental borrowing rate to discount the lease payments based on information available at lease commencement.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classify our leases as buildings, vehicles or computer and office equipment and do not separate lease and non-lease components of contracts for any of the aforementioned classifications. In accordance with applicable guidance, we do not record leases with terms that are less than one year on the Condensed Consolidated Balance Sheets.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None of our lease agreements contain material restrictive covenants or residual value guarantees.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Buildings</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 xml:space="preserve">We lease certain office and warehouse space at various locations in the United States where we provide services. These leases are typically greater than one year with fixed, escalating rents over the noncancelable terms and, therefore, ROU operating lease assets and operating lease liabilities are recorded on the Condensed Consolidated Balance Sheets, with rent expense recognized on a straight-line basis over the term of the lease. The remaining lease terms vary from approximately </w:t>
      </w:r>
      <w:r>
        <w:rPr>
          <w:rFonts w:ascii="Arial;Helvetica;sans-serif" w:hAnsi="Arial;Helvetica;sans-serif"/>
          <w:b w:val="false"/>
          <w:i w:val="false"/>
          <w:caps w:val="false"/>
          <w:smallCaps w:val="false"/>
          <w:sz w:val="20"/>
        </w:rPr>
        <w:t>one</w:t>
      </w:r>
      <w:r>
        <w:rPr>
          <w:rFonts w:ascii="Times New Roman;Times;serif" w:hAnsi="Times New Roman;Times;serif"/>
          <w:sz w:val="20"/>
        </w:rPr>
        <w:t xml:space="preserve"> </w:t>
      </w:r>
      <w:r>
        <w:rPr>
          <w:rFonts w:ascii="Arial;Helvetica;sans-serif" w:hAnsi="Arial;Helvetica;sans-serif"/>
          <w:sz w:val="20"/>
        </w:rPr>
        <w:t>to five years</w:t>
      </w:r>
      <w:r>
        <w:rPr>
          <w:rFonts w:ascii="Times New Roman;Times;serif" w:hAnsi="Times New Roman;Times;serif"/>
          <w:sz w:val="20"/>
        </w:rPr>
        <w:t xml:space="preserve"> </w:t>
      </w:r>
      <w:r>
        <w:rPr>
          <w:rFonts w:ascii="Arial;Helvetica;sans-serif" w:hAnsi="Arial;Helvetica;sans-serif"/>
          <w:sz w:val="20"/>
        </w:rPr>
        <w:t>as of June 30, 2026.</w:t>
      </w:r>
    </w:p>
    <w:p>
      <w:pPr>
        <w:pStyle w:val="TextBody"/>
        <w:bidi w:val="0"/>
        <w:spacing w:before="0" w:after="0"/>
        <w:ind w:left="0" w:right="0" w:firstLine="720"/>
        <w:jc w:val="both"/>
        <w:rPr>
          <w:rFonts w:ascii="Times New Roman;Times;serif" w:hAnsi="Times New Roman;Times;serif"/>
          <w:sz w:val="20"/>
        </w:rPr>
      </w:pPr>
      <w:r>
        <w:rPr>
          <w:rFonts w:ascii="Arial;Helvetica;sans-serif" w:hAnsi="Arial;Helvetica;sans-serif"/>
          <w:sz w:val="20"/>
        </w:rPr>
        <w:t>We entered into a lease (“initial lease”) in October 2018, for approximately 80,000</w:t>
      </w:r>
      <w:r>
        <w:rPr>
          <w:rFonts w:ascii="Times New Roman;Times;serif" w:hAnsi="Times New Roman;Times;serif"/>
          <w:sz w:val="20"/>
        </w:rPr>
        <w:t xml:space="preserve"> </w:t>
      </w:r>
      <w:r>
        <w:rPr>
          <w:rFonts w:ascii="Arial;Helvetica;sans-serif" w:hAnsi="Arial;Helvetica;sans-serif"/>
          <w:sz w:val="20"/>
        </w:rPr>
        <w:t xml:space="preserve">square feet of office space for our new corporate headquarters in Minneapolis, Minnesota. In December 2018, we amended the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0" w:after="240"/>
        <w:ind w:left="0" w:right="0" w:hanging="0"/>
        <w:jc w:val="both"/>
        <w:rPr>
          <w:rFonts w:ascii="Times New Roman;Times;serif" w:hAnsi="Times New Roman;Times;serif"/>
          <w:sz w:val="20"/>
        </w:rPr>
      </w:pPr>
      <w:bookmarkStart w:id="805" w:name="Tc_jOdn1Xdd-EOmsPcPnDxOPw_16_5"/>
      <w:bookmarkStart w:id="806" w:name="Tc_72CGrjy-MUuCKB-GmlgoqQ_16_2"/>
      <w:bookmarkStart w:id="807" w:name="Tc_WW1GhoHkcEOawGp96Ju7oQ_16_0"/>
      <w:bookmarkStart w:id="808" w:name="Tc_WoDlPw7_0U-l4VaTg7l92g_15_0"/>
      <w:bookmarkStart w:id="809" w:name="Tc_PNsPSeGfskeLW9G8nDzRsA_14_5"/>
      <w:bookmarkStart w:id="810" w:name="Tc_9hmMskpXc0uUHuMTMy73fw_14_2"/>
      <w:bookmarkStart w:id="811" w:name="Tc_41FMAfNknk6qShizkliSgQ_13_2"/>
      <w:bookmarkStart w:id="812" w:name="Tc_6-YJuGfuFEi-YHJKkTe34w_11_0"/>
      <w:bookmarkStart w:id="813" w:name="Tc_c-YaRZ0qEkCB9aiL4vGltg_10_6"/>
      <w:bookmarkStart w:id="814" w:name="Tc_DuOtiO8NmEyl49sVFKIgQQ_10_3"/>
      <w:bookmarkStart w:id="815" w:name="Tc_W_QNfjQf-k6EXdAVW56cag_10_0"/>
      <w:bookmarkStart w:id="816" w:name="Tc_1Ua5htRTDU63-BVV-MJjQw_9_0"/>
      <w:bookmarkStart w:id="817" w:name="Tc_9vGWnyBM7Ey8ZPhytz2S9A_7_5"/>
      <w:bookmarkStart w:id="818" w:name="Tc_TqxUcP4f6EC9NqSXWqv2qw_7_2"/>
      <w:bookmarkStart w:id="819" w:name="Tc_EVB7AYtswUygN_YOpkE7fA_7_0"/>
      <w:bookmarkStart w:id="820" w:name="Tc_ZHDZkdY6GEOd7hyesyqCDw_6_0"/>
      <w:bookmarkStart w:id="821" w:name="Tc_3lGxzMbZKECssuw9ZWFxHw_5_5"/>
      <w:bookmarkStart w:id="822" w:name="Tc_gXGQaQgBGEGslob1l8W3aw_5_2"/>
      <w:bookmarkStart w:id="823" w:name="Tc_fHq0L_XWOkKvP3N0YDD0Lw_5_0"/>
      <w:bookmarkStart w:id="824" w:name="Tc_TxbbqUkOB0-rlvi5YCXtfA_4_0"/>
      <w:bookmarkStart w:id="825" w:name="Tc_MF5ATqxbwESpv1Mh6sWpgA_2_5"/>
      <w:bookmarkStart w:id="826" w:name="Tc_xwcmjPoEJUCb1IxQShYmnA_2_2"/>
      <w:bookmarkStart w:id="827" w:name="Tc_qIm7JgvsnUqOVBwXZzCr-Q_2_0"/>
      <w:bookmarkStart w:id="828" w:name="Tc_tnjjeDY1SES0bo5-mQ1BkQ_1_5"/>
      <w:bookmarkStart w:id="829" w:name="Tc_UM5r8gscYEOATiuw1mWEIQ_1_2"/>
      <w:bookmarkStart w:id="830" w:name="Tc_gcyQK3pfbE-CZu2gSPq1jg_1_0"/>
      <w:bookmarkStart w:id="831" w:name="_efe01800_4d8a_4168_97e2_ac7f2e8855b8"/>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Pr>
          <w:rFonts w:ascii="Arial;Helvetica;sans-serif" w:hAnsi="Arial;Helvetica;sans-serif"/>
          <w:sz w:val="20"/>
        </w:rPr>
        <w:t>initial lease to add approximately 29,000</w:t>
      </w:r>
      <w:r>
        <w:rPr>
          <w:rFonts w:ascii="Times New Roman;Times;serif" w:hAnsi="Times New Roman;Times;serif"/>
          <w:sz w:val="20"/>
        </w:rPr>
        <w:t xml:space="preserve"> </w:t>
      </w:r>
      <w:r>
        <w:rPr>
          <w:rFonts w:ascii="Arial;Helvetica;sans-serif" w:hAnsi="Arial;Helvetica;sans-serif"/>
          <w:sz w:val="20"/>
        </w:rPr>
        <w:t>square feet of additional office space, which is accounted for as a separate lease (“second lease”) in accordance with ASU No. 2016-02, “Leases” (Topic 842) (“ASC 842”). In December 2019, we further amended the lease which extended the expiration date of the initial lease, extended the expiration date of and added approximately 4,000</w:t>
      </w:r>
      <w:r>
        <w:rPr>
          <w:rFonts w:ascii="Times New Roman;Times;serif" w:hAnsi="Times New Roman;Times;serif"/>
          <w:sz w:val="20"/>
        </w:rPr>
        <w:t xml:space="preserve"> </w:t>
      </w:r>
      <w:r>
        <w:rPr>
          <w:rFonts w:ascii="Arial;Helvetica;sans-serif" w:hAnsi="Arial;Helvetica;sans-serif"/>
          <w:sz w:val="20"/>
        </w:rPr>
        <w:t>square feet to the second lease, as well as added approximately 37,000</w:t>
      </w:r>
      <w:r>
        <w:rPr>
          <w:rFonts w:ascii="Times New Roman;Times;serif" w:hAnsi="Times New Roman;Times;serif"/>
          <w:sz w:val="20"/>
        </w:rPr>
        <w:t xml:space="preserve"> </w:t>
      </w:r>
      <w:r>
        <w:rPr>
          <w:rFonts w:ascii="Arial;Helvetica;sans-serif" w:hAnsi="Arial;Helvetica;sans-serif"/>
          <w:sz w:val="20"/>
        </w:rPr>
        <w:t>square feet of additional office space, accounted for as a separate lease (“third lease”) in accordance with ASC 842. The portion of the space covered under the initial lease was placed in service in September 2019. The portion of the space covered under the second lease commenced in September 2020. Finally, the portion of the space covered under the third lease commenced in September 2021. The three portions were recognized as an operating lease and included in the ROU operating lease assets and operating lease liabilities on the Condensed Consolidated Balance Sheets.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Computer and Office Equipment</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We also have operating lease agreements for certain computer and office equipment. The remaining lease terms as of June 30, 2026, ranged from less than one year</w:t>
      </w:r>
      <w:r>
        <w:rPr>
          <w:rFonts w:ascii="Times New Roman;Times;serif" w:hAnsi="Times New Roman;Times;serif"/>
          <w:sz w:val="20"/>
        </w:rPr>
        <w:t xml:space="preserve"> </w:t>
      </w:r>
      <w:r>
        <w:rPr>
          <w:rFonts w:ascii="Arial;Helvetica;sans-serif" w:hAnsi="Arial;Helvetica;sans-serif"/>
          <w:sz w:val="20"/>
        </w:rPr>
        <w:t>to approximately two years</w:t>
      </w:r>
      <w:r>
        <w:rPr>
          <w:rFonts w:ascii="Times New Roman;Times;serif" w:hAnsi="Times New Roman;Times;serif"/>
          <w:sz w:val="20"/>
        </w:rPr>
        <w:t xml:space="preserve"> </w:t>
      </w:r>
      <w:r>
        <w:rPr>
          <w:rFonts w:ascii="Arial;Helvetica;sans-serif" w:hAnsi="Arial;Helvetica;sans-serif"/>
          <w:sz w:val="20"/>
        </w:rPr>
        <w:t>with fixed monthly payments that are included in the ROU operating lease assets and operating lease liabilities. The leases provide an option to purchase the related equipment at fair market value at the end of the lease. The leases will automatically renew</w:t>
      </w:r>
      <w:r>
        <w:rPr>
          <w:rFonts w:ascii="Times New Roman;Times;serif" w:hAnsi="Times New Roman;Times;serif"/>
          <w:sz w:val="20"/>
        </w:rPr>
        <w:t xml:space="preserve"> </w:t>
      </w:r>
      <w:r>
        <w:rPr>
          <w:rFonts w:ascii="Arial;Helvetica;sans-serif" w:hAnsi="Arial;Helvetica;sans-serif"/>
          <w:sz w:val="20"/>
        </w:rPr>
        <w:t>as a month-to-month rental at the end of the lease if the equipment is not purchased or returned.</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Lease Position, Undiscounted Cash Flow and Supplemental Information</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table below presents information related to our ROU operating lease assets and operating lease liabilities that we have recorded:</w:t>
      </w:r>
    </w:p>
    <w:p>
      <w:pPr>
        <w:pStyle w:val="TextBody"/>
        <w:bidi w:val="0"/>
        <w:spacing w:before="0" w:after="0"/>
        <w:ind w:left="0" w:right="0" w:hanging="0"/>
        <w:jc w:val="left"/>
        <w:rPr/>
      </w:pPr>
      <w:r>
        <w:rPr/>
        <w:t>​</w:t>
      </w:r>
    </w:p>
    <w:tbl>
      <w:tblPr>
        <w:tblW w:w="9828" w:type="dxa"/>
        <w:jc w:val="left"/>
        <w:tblInd w:w="0" w:type="dxa"/>
        <w:tblLayout w:type="fixed"/>
        <w:tblCellMar>
          <w:top w:w="0" w:type="dxa"/>
          <w:left w:w="0" w:type="dxa"/>
          <w:bottom w:w="0" w:type="dxa"/>
          <w:right w:w="0" w:type="dxa"/>
        </w:tblCellMar>
      </w:tblPr>
      <w:tblGrid>
        <w:gridCol w:w="5371"/>
        <w:gridCol w:w="346"/>
        <w:gridCol w:w="378"/>
        <w:gridCol w:w="1242"/>
        <w:gridCol w:w="346"/>
        <w:gridCol w:w="477"/>
        <w:gridCol w:w="1668"/>
      </w:tblGrid>
      <w:tr>
        <w:trPr/>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410585" cy="175260"/>
                      <wp:effectExtent l="0" t="0" r="0" b="0"/>
                      <wp:wrapNone/>
                      <wp:docPr id="98" name="Frame98"/>
                      <a:graphic xmlns:a="http://schemas.openxmlformats.org/drawingml/2006/main">
                        <a:graphicData uri="http://schemas.microsoft.com/office/word/2010/wordprocessingShape">
                          <wps:wsp>
                            <wps:cNvSpPr txBox="1"/>
                            <wps:spPr>
                              <a:xfrm>
                                <a:off x="0" y="0"/>
                                <a:ext cx="341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40030" cy="175260"/>
                      <wp:effectExtent l="0" t="0" r="0" b="0"/>
                      <wp:wrapNone/>
                      <wp:docPr id="100" name="Frame100"/>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88670" cy="175260"/>
                      <wp:effectExtent l="0" t="0" r="0" b="0"/>
                      <wp:wrapNone/>
                      <wp:docPr id="101" name="Frame101"/>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02895" cy="175260"/>
                      <wp:effectExtent l="0" t="0" r="0" b="0"/>
                      <wp:wrapNone/>
                      <wp:docPr id="103" name="Frame103"/>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059180" cy="175260"/>
                      <wp:effectExtent l="0" t="0" r="0" b="0"/>
                      <wp:wrapNone/>
                      <wp:docPr id="104" name="Frame104"/>
                      <a:graphic xmlns:a="http://schemas.openxmlformats.org/drawingml/2006/main">
                        <a:graphicData uri="http://schemas.microsoft.com/office/word/2010/wordprocessingShape">
                          <wps:wsp>
                            <wps:cNvSpPr txBox="1"/>
                            <wps:spPr>
                              <a:xfrm>
                                <a:off x="0" y="0"/>
                                <a:ext cx="1059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1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At June 30, 2026</w:t>
            </w:r>
          </w:p>
        </w:tc>
        <w:tc>
          <w:tcPr>
            <w:tcW w:w="346" w:type="dxa"/>
            <w:tcBorders/>
            <w:vAlign w:val="center"/>
          </w:tcPr>
          <w:p>
            <w:pPr>
              <w:pStyle w:val="TableContents"/>
              <w:bidi w:val="0"/>
              <w:spacing w:before="0" w:after="0"/>
              <w:ind w:left="0" w:right="0" w:hanging="0"/>
              <w:jc w:val="left"/>
              <w:rPr/>
            </w:pPr>
            <w:r>
              <w:rPr/>
              <w:t>  ​ ​ ​</w:t>
            </w:r>
          </w:p>
        </w:tc>
        <w:tc>
          <w:tcPr>
            <w:tcW w:w="2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At December 31, 2025</w:t>
            </w:r>
          </w:p>
        </w:tc>
      </w:tr>
      <w:tr>
        <w:trPr/>
        <w:tc>
          <w:tcPr>
            <w:tcW w:w="53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Right of use 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12,553</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13,798</w:t>
            </w:r>
          </w:p>
        </w:tc>
      </w:tr>
      <w:tr>
        <w:trPr/>
        <w:tc>
          <w:tcPr>
            <w:tcW w:w="5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2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668" w:type="dxa"/>
            <w:tcBorders/>
            <w:vAlign w:val="center"/>
          </w:tcPr>
          <w:p>
            <w:pPr>
              <w:pStyle w:val="TableContents"/>
              <w:bidi w:val="0"/>
              <w:spacing w:before="0" w:after="0"/>
              <w:ind w:left="0" w:right="0" w:hanging="0"/>
              <w:jc w:val="right"/>
              <w:rPr/>
            </w:pPr>
            <w:r>
              <w:rPr/>
              <w:t>​</w:t>
            </w:r>
          </w:p>
        </w:tc>
      </w:tr>
      <w:tr>
        <w:trPr/>
        <w:tc>
          <w:tcPr>
            <w:tcW w:w="53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2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668" w:type="dxa"/>
            <w:tcBorders/>
            <w:shd w:fill="CCEEFF" w:val="clear"/>
            <w:vAlign w:val="center"/>
          </w:tcPr>
          <w:p>
            <w:pPr>
              <w:pStyle w:val="TableContents"/>
              <w:bidi w:val="0"/>
              <w:spacing w:before="0" w:after="0"/>
              <w:ind w:left="0" w:right="0" w:hanging="0"/>
              <w:jc w:val="right"/>
              <w:rPr/>
            </w:pPr>
            <w:r>
              <w:rPr/>
              <w:t>​</w:t>
            </w:r>
          </w:p>
        </w:tc>
      </w:tr>
      <w:tr>
        <w:trPr/>
        <w:tc>
          <w:tcPr>
            <w:tcW w:w="53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3,095</w:t>
            </w:r>
          </w:p>
        </w:tc>
        <w:tc>
          <w:tcPr>
            <w:tcW w:w="34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6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3,195</w:t>
            </w:r>
          </w:p>
        </w:tc>
      </w:tr>
      <w:tr>
        <w:trPr/>
        <w:tc>
          <w:tcPr>
            <w:tcW w:w="53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11,267</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12,763</w:t>
            </w:r>
          </w:p>
        </w:tc>
      </w:tr>
      <w:tr>
        <w:trPr/>
        <w:tc>
          <w:tcPr>
            <w:tcW w:w="53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w:t>
            </w:r>
          </w:p>
        </w:tc>
        <w:tc>
          <w:tcPr>
            <w:tcW w:w="37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14,362</w:t>
            </w:r>
          </w:p>
        </w:tc>
        <w:tc>
          <w:tcPr>
            <w:tcW w:w="346" w:type="dxa"/>
            <w:tcBorders/>
            <w:vAlign w:val="center"/>
          </w:tcPr>
          <w:p>
            <w:pPr>
              <w:pStyle w:val="TableContents"/>
              <w:bidi w:val="0"/>
              <w:spacing w:before="0" w:after="0"/>
              <w:ind w:left="0" w:right="0" w:hanging="0"/>
              <w:jc w:val="left"/>
              <w:rPr/>
            </w:pPr>
            <w:r>
              <w:rPr/>
              <w:t>​</w:t>
            </w:r>
          </w:p>
        </w:tc>
        <w:tc>
          <w:tcPr>
            <w:tcW w:w="47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6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15,958</w:t>
            </w:r>
          </w:p>
        </w:tc>
      </w:tr>
      <w:tr>
        <w:trPr/>
        <w:tc>
          <w:tcPr>
            <w:tcW w:w="53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2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668" w:type="dxa"/>
            <w:tcBorders/>
            <w:shd w:fill="CCEEFF" w:val="clear"/>
            <w:vAlign w:val="center"/>
          </w:tcPr>
          <w:p>
            <w:pPr>
              <w:pStyle w:val="TableContents"/>
              <w:bidi w:val="0"/>
              <w:spacing w:before="0" w:after="0"/>
              <w:ind w:left="0" w:right="0" w:hanging="0"/>
              <w:jc w:val="right"/>
              <w:rPr/>
            </w:pPr>
            <w:r>
              <w:rPr/>
              <w:t>​</w:t>
            </w:r>
          </w:p>
        </w:tc>
      </w:tr>
      <w:tr>
        <w:trPr/>
        <w:tc>
          <w:tcPr>
            <w:tcW w:w="53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Operating leases: </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2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668" w:type="dxa"/>
            <w:tcBorders/>
            <w:vAlign w:val="center"/>
          </w:tcPr>
          <w:p>
            <w:pPr>
              <w:pStyle w:val="TableContents"/>
              <w:bidi w:val="0"/>
              <w:spacing w:before="0" w:after="0"/>
              <w:ind w:left="0" w:right="0" w:hanging="0"/>
              <w:jc w:val="right"/>
              <w:rPr/>
            </w:pPr>
            <w:r>
              <w:rPr/>
              <w:t>​</w:t>
            </w:r>
          </w:p>
        </w:tc>
      </w:tr>
      <w:tr>
        <w:trPr/>
        <w:tc>
          <w:tcPr>
            <w:tcW w:w="53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remaining lease term</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 </w:t>
            </w:r>
          </w:p>
        </w:tc>
        <w:tc>
          <w:tcPr>
            <w:tcW w:w="12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Arial;Helvetica;sans-serif" w:hAnsi="Arial;Helvetica;sans-serif"/>
                <w:sz w:val="20"/>
              </w:rPr>
              <w:t>4.5</w:t>
            </w:r>
            <w:r>
              <w:rPr>
                <w:rFonts w:ascii="Times New Roman;Times;serif" w:hAnsi="Times New Roman;Times;serif"/>
                <w:sz w:val="20"/>
              </w:rPr>
              <w:t xml:space="preserve"> </w:t>
            </w:r>
            <w:r>
              <w:rPr>
                <w:rFonts w:ascii="Arial;Helvetica;sans-serif" w:hAnsi="Arial;Helvetica;sans-serif"/>
                <w:sz w:val="20"/>
              </w:rPr>
              <w:t>years</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Arial;Helvetica;sans-serif" w:hAnsi="Arial;Helvetica;sans-serif"/>
                <w:sz w:val="20"/>
              </w:rPr>
              <w:t>4.9</w:t>
            </w:r>
            <w:r>
              <w:rPr>
                <w:rFonts w:ascii="Times New Roman;Times;serif" w:hAnsi="Times New Roman;Times;serif"/>
                <w:sz w:val="20"/>
              </w:rPr>
              <w:t xml:space="preserve"> </w:t>
            </w:r>
            <w:r>
              <w:rPr>
                <w:rFonts w:ascii="Arial;Helvetica;sans-serif" w:hAnsi="Arial;Helvetica;sans-serif"/>
                <w:sz w:val="20"/>
              </w:rPr>
              <w:t>years</w:t>
            </w:r>
          </w:p>
        </w:tc>
      </w:tr>
      <w:tr>
        <w:trPr/>
        <w:tc>
          <w:tcPr>
            <w:tcW w:w="53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discount rate</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2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w:t>
            </w:r>
          </w:p>
        </w:tc>
        <w:tc>
          <w:tcPr>
            <w:tcW w:w="34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66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w:t>
            </w:r>
          </w:p>
        </w:tc>
      </w:tr>
      <w:tr>
        <w:trPr/>
        <w:tc>
          <w:tcPr>
            <w:tcW w:w="5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2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668" w:type="dxa"/>
            <w:tcBorders/>
            <w:vAlign w:val="center"/>
          </w:tcPr>
          <w:p>
            <w:pPr>
              <w:pStyle w:val="TableContents"/>
              <w:bidi w:val="0"/>
              <w:spacing w:before="0" w:after="0"/>
              <w:ind w:left="0" w:right="0" w:hanging="0"/>
              <w:jc w:val="right"/>
              <w:rPr/>
            </w:pPr>
            <w:r>
              <w:rPr/>
              <w:t>​</w:t>
            </w:r>
          </w:p>
        </w:tc>
      </w:tr>
      <w:tr>
        <w:trPr/>
        <w:tc>
          <w:tcPr>
            <w:tcW w:w="5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11"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Six Months Ended June 30,</w:t>
            </w:r>
          </w:p>
        </w:tc>
      </w:tr>
      <w:tr>
        <w:trPr/>
        <w:tc>
          <w:tcPr>
            <w:tcW w:w="5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left"/>
              <w:rPr/>
            </w:pPr>
            <w:r>
              <w:rPr/>
              <w:t>​</w:t>
            </w:r>
          </w:p>
        </w:tc>
        <w:tc>
          <w:tcPr>
            <w:tcW w:w="2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53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Supplemental cash flow information for our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2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668" w:type="dxa"/>
            <w:tcBorders/>
            <w:shd w:fill="CCEEFF" w:val="clear"/>
            <w:vAlign w:val="center"/>
          </w:tcPr>
          <w:p>
            <w:pPr>
              <w:pStyle w:val="TableContents"/>
              <w:bidi w:val="0"/>
              <w:spacing w:before="0" w:after="0"/>
              <w:ind w:left="0" w:right="0" w:hanging="0"/>
              <w:jc w:val="left"/>
              <w:rPr/>
            </w:pPr>
            <w:r>
              <w:rPr/>
              <w:t>​</w:t>
            </w:r>
          </w:p>
        </w:tc>
      </w:tr>
      <w:tr>
        <w:trPr/>
        <w:tc>
          <w:tcPr>
            <w:tcW w:w="53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operating lease liabilities</w:t>
            </w:r>
          </w:p>
        </w:tc>
        <w:tc>
          <w:tcPr>
            <w:tcW w:w="3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1,892</w:t>
            </w:r>
          </w:p>
        </w:tc>
        <w:tc>
          <w:tcPr>
            <w:tcW w:w="34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68"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1,851</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0" w:after="240"/>
        <w:ind w:left="0" w:right="0" w:firstLine="720"/>
        <w:jc w:val="both"/>
        <w:rPr>
          <w:rFonts w:ascii="Arial;Helvetica;sans-serif" w:hAnsi="Arial;Helvetica;sans-serif"/>
          <w:sz w:val="20"/>
        </w:rPr>
      </w:pPr>
      <w:bookmarkStart w:id="832" w:name="_Hlk195177349"/>
      <w:bookmarkStart w:id="833" w:name="_Hlk179282561"/>
      <w:bookmarkStart w:id="834" w:name="_Hlk171496834"/>
      <w:bookmarkStart w:id="835" w:name="_Hlk140049859"/>
      <w:bookmarkStart w:id="836" w:name="Tc_jTkbU5YdA0KLffNuLu5Jtw_12_2"/>
      <w:bookmarkStart w:id="837" w:name="Tc_qNG8HusiFkS29nqZOtLO9Q_12_0"/>
      <w:bookmarkStart w:id="838" w:name="Tc_0j8qVARuvkCIrBmDgbnrww_11_0"/>
      <w:bookmarkStart w:id="839" w:name="Tc_jDJj3TDa4EKpzHEGxqj_Tg_10_0"/>
      <w:bookmarkStart w:id="840" w:name="Tc_Xde_xG8fgEyfVSWcrVUJKg_9_0"/>
      <w:bookmarkStart w:id="841" w:name="Tc_PlUpmBQLb062Mf9qsFDUUw_8_0"/>
      <w:bookmarkStart w:id="842" w:name="Tc_6Au597-pmE-HVrPMsbx4sg_7_0"/>
      <w:bookmarkStart w:id="843" w:name="Tc_4tcFEDaetEugtLrP2sYUjA_6_0"/>
      <w:bookmarkStart w:id="844" w:name="Tc_j0FvoBDnA0KCX8THNCj56A_5_0"/>
      <w:bookmarkStart w:id="845" w:name="Tc_nIZKBg_IYkCT7lgFKa2rKA_4_0"/>
      <w:bookmarkStart w:id="846" w:name="Tc_cHbNIlbc3k-ZxQr0SgwDbQ_3_0"/>
      <w:bookmarkStart w:id="847" w:name="Tc_6PPAZoy1skeatT2y7a3Hmw_2_2"/>
      <w:bookmarkStart w:id="848" w:name="Tc_FgYvki4GM0ehOTpKv9sExg_2_0"/>
      <w:bookmarkStart w:id="849" w:name="Tc_3nOx2Aa9j0uzrqrDcpodYQ_1_0"/>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r>
        <w:rPr>
          <w:rFonts w:ascii="Arial;Helvetica;sans-serif" w:hAnsi="Arial;Helvetica;sans-serif"/>
          <w:sz w:val="20"/>
        </w:rPr>
        <w:t>The table below reconciles the undiscounted cash flows for the periods presented to the operating lease liabilities recorded on the Condensed Consolidated Balance Sheet for the periods presented:</w:t>
      </w:r>
    </w:p>
    <w:p>
      <w:pPr>
        <w:pStyle w:val="TextBody"/>
        <w:bidi w:val="0"/>
        <w:spacing w:before="0" w:after="0"/>
        <w:ind w:left="0" w:right="0" w:hanging="0"/>
        <w:jc w:val="left"/>
        <w:rPr/>
      </w:pPr>
      <w:r>
        <w:rPr/>
        <w:t>​</w:t>
      </w:r>
    </w:p>
    <w:tbl>
      <w:tblPr>
        <w:tblW w:w="6127" w:type="dxa"/>
        <w:jc w:val="left"/>
        <w:tblInd w:w="0" w:type="dxa"/>
        <w:tblLayout w:type="fixed"/>
        <w:tblCellMar>
          <w:top w:w="0" w:type="dxa"/>
          <w:left w:w="0" w:type="dxa"/>
          <w:bottom w:w="0" w:type="dxa"/>
          <w:right w:w="0" w:type="dxa"/>
        </w:tblCellMar>
      </w:tblPr>
      <w:tblGrid>
        <w:gridCol w:w="5011"/>
        <w:gridCol w:w="109"/>
        <w:gridCol w:w="211"/>
        <w:gridCol w:w="796"/>
      </w:tblGrid>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50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0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 (July 1 - December 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1,895</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3,311</w:t>
            </w:r>
          </w:p>
        </w:tc>
      </w:tr>
      <w:tr>
        <w:trPr/>
        <w:tc>
          <w:tcPr>
            <w:tcW w:w="50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3,275</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3,310</w:t>
            </w:r>
          </w:p>
        </w:tc>
      </w:tr>
      <w:tr>
        <w:trPr/>
        <w:tc>
          <w:tcPr>
            <w:tcW w:w="50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3,340</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w:t>
            </w:r>
          </w:p>
        </w:tc>
      </w:tr>
      <w:tr>
        <w:trPr/>
        <w:tc>
          <w:tcPr>
            <w:tcW w:w="50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minimum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15,482</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Amount of lease payments representing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w:t>
            </w:r>
          </w:p>
        </w:tc>
      </w:tr>
      <w:tr>
        <w:trPr/>
        <w:tc>
          <w:tcPr>
            <w:tcW w:w="50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Present value of future minimum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14,362</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obligations under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(3,095)</w:t>
            </w:r>
          </w:p>
        </w:tc>
      </w:tr>
      <w:tr>
        <w:trPr/>
        <w:tc>
          <w:tcPr>
            <w:tcW w:w="50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obligations under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11,267</w:t>
            </w:r>
          </w:p>
        </w:tc>
      </w:tr>
    </w:tbl>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Operating lease costs were $0.9</w:t>
      </w:r>
      <w:r>
        <w:rPr>
          <w:rFonts w:ascii="Times New Roman;Times;serif" w:hAnsi="Times New Roman;Times;serif"/>
          <w:sz w:val="20"/>
        </w:rPr>
        <w:t xml:space="preserve"> </w:t>
      </w:r>
      <w:r>
        <w:rPr>
          <w:rFonts w:ascii="Arial;Helvetica;sans-serif" w:hAnsi="Arial;Helvetica;sans-serif"/>
          <w:sz w:val="20"/>
        </w:rPr>
        <w:t>million for each of the three months ended June 30, 2026 and 2025. Operating lease costs were $1.8</w:t>
      </w:r>
      <w:r>
        <w:rPr>
          <w:rFonts w:ascii="Times New Roman;Times;serif" w:hAnsi="Times New Roman;Times;serif"/>
          <w:sz w:val="20"/>
        </w:rPr>
        <w:t xml:space="preserve"> </w:t>
      </w:r>
      <w:r>
        <w:rPr>
          <w:rFonts w:ascii="Arial;Helvetica;sans-serif" w:hAnsi="Arial;Helvetica;sans-serif"/>
          <w:sz w:val="20"/>
        </w:rPr>
        <w:t>million for each of the six months ended June 30, 2026 and 2025.</w:t>
      </w:r>
    </w:p>
    <w:p>
      <w:pPr>
        <w:pStyle w:val="TextBody"/>
        <w:pBdr/>
        <w:shd w:fill="FFFFFF" w:val="clear"/>
        <w:bidi w:val="0"/>
        <w:spacing w:before="0" w:after="0"/>
        <w:ind w:left="0" w:right="0" w:hanging="202"/>
        <w:jc w:val="both"/>
        <w:rPr>
          <w:rFonts w:ascii="Arial;Helvetica;sans-serif" w:hAnsi="Arial;Helvetica;sans-serif"/>
          <w:b/>
          <w:i/>
          <w:sz w:val="20"/>
        </w:rPr>
      </w:pPr>
      <w:r>
        <w:rPr>
          <w:rFonts w:ascii="Arial;Helvetica;sans-serif" w:hAnsi="Arial;Helvetica;sans-serif"/>
          <w:b/>
          <w:i/>
          <w:sz w:val="20"/>
        </w:rPr>
        <w:t>Major Vendors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We had purchases from one</w:t>
      </w:r>
      <w:r>
        <w:rPr>
          <w:rFonts w:ascii="Times New Roman;Times;serif" w:hAnsi="Times New Roman;Times;serif"/>
          <w:sz w:val="20"/>
        </w:rPr>
        <w:t xml:space="preserve"> </w:t>
      </w:r>
      <w:r>
        <w:rPr>
          <w:rFonts w:ascii="Arial;Helvetica;sans-serif" w:hAnsi="Arial;Helvetica;sans-serif"/>
          <w:sz w:val="20"/>
        </w:rPr>
        <w:t>vendor that accounted for 10%</w:t>
      </w:r>
      <w:r>
        <w:rPr>
          <w:rFonts w:ascii="Times New Roman;Times;serif" w:hAnsi="Times New Roman;Times;serif"/>
          <w:sz w:val="20"/>
        </w:rPr>
        <w:t xml:space="preserve"> </w:t>
      </w:r>
      <w:r>
        <w:rPr>
          <w:rFonts w:ascii="Arial;Helvetica;sans-serif" w:hAnsi="Arial;Helvetica;sans-serif"/>
          <w:sz w:val="20"/>
        </w:rPr>
        <w:t>and 12%</w:t>
      </w:r>
      <w:r>
        <w:rPr>
          <w:rFonts w:ascii="Times New Roman;Times;serif" w:hAnsi="Times New Roman;Times;serif"/>
          <w:sz w:val="20"/>
        </w:rPr>
        <w:t xml:space="preserve"> </w:t>
      </w:r>
      <w:r>
        <w:rPr>
          <w:rFonts w:ascii="Arial;Helvetica;sans-serif" w:hAnsi="Arial;Helvetica;sans-serif"/>
          <w:sz w:val="20"/>
        </w:rPr>
        <w:t>of our total purchases for the three months ended June 30, 2026 and 2025, respectively. We had purchases from one</w:t>
      </w:r>
      <w:r>
        <w:rPr>
          <w:rFonts w:ascii="Times New Roman;Times;serif" w:hAnsi="Times New Roman;Times;serif"/>
          <w:sz w:val="20"/>
        </w:rPr>
        <w:t xml:space="preserve"> </w:t>
      </w:r>
      <w:r>
        <w:rPr>
          <w:rFonts w:ascii="Arial;Helvetica;sans-serif" w:hAnsi="Arial;Helvetica;sans-serif"/>
          <w:sz w:val="20"/>
        </w:rPr>
        <w:t>vendor that accounted for 11%</w:t>
      </w:r>
      <w:r>
        <w:rPr>
          <w:rFonts w:ascii="Times New Roman;Times;serif" w:hAnsi="Times New Roman;Times;serif"/>
          <w:sz w:val="20"/>
        </w:rPr>
        <w:t xml:space="preserve"> </w:t>
      </w:r>
      <w:r>
        <w:rPr>
          <w:rFonts w:ascii="Arial;Helvetica;sans-serif" w:hAnsi="Arial;Helvetica;sans-serif"/>
          <w:sz w:val="20"/>
        </w:rPr>
        <w:t>and 12%</w:t>
      </w:r>
      <w:r>
        <w:rPr>
          <w:rFonts w:ascii="Times New Roman;Times;serif" w:hAnsi="Times New Roman;Times;serif"/>
          <w:sz w:val="20"/>
        </w:rPr>
        <w:t xml:space="preserve"> </w:t>
      </w:r>
      <w:r>
        <w:rPr>
          <w:rFonts w:ascii="Arial;Helvetica;sans-serif" w:hAnsi="Arial;Helvetica;sans-serif"/>
          <w:sz w:val="20"/>
        </w:rPr>
        <w:t>of our total purchases for the six months ended June 30, 2026 and 2025, respectively.</w:t>
      </w:r>
    </w:p>
    <w:p>
      <w:pPr>
        <w:pStyle w:val="TextBody"/>
        <w:pBdr/>
        <w:shd w:fill="FFFFFF" w:val="clear"/>
        <w:bidi w:val="0"/>
        <w:spacing w:before="0" w:after="0"/>
        <w:ind w:left="0" w:right="0" w:hanging="202"/>
        <w:jc w:val="both"/>
        <w:rPr>
          <w:rFonts w:ascii="Arial;Helvetica;sans-serif" w:hAnsi="Arial;Helvetica;sans-serif"/>
          <w:b/>
          <w:i/>
          <w:sz w:val="20"/>
        </w:rPr>
      </w:pPr>
      <w:r>
        <w:rPr>
          <w:rFonts w:ascii="Arial;Helvetica;sans-serif" w:hAnsi="Arial;Helvetica;sans-serif"/>
          <w:b/>
          <w:i/>
          <w:sz w:val="20"/>
        </w:rPr>
        <w:t>Purchase Commitments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We issued purchase orders prior to June 30, 2026, totaling $39.4</w:t>
      </w:r>
      <w:r>
        <w:rPr>
          <w:rFonts w:ascii="Times New Roman;Times;serif" w:hAnsi="Times New Roman;Times;serif"/>
          <w:sz w:val="20"/>
        </w:rPr>
        <w:t xml:space="preserve"> </w:t>
      </w:r>
      <w:r>
        <w:rPr>
          <w:rFonts w:ascii="Arial;Helvetica;sans-serif" w:hAnsi="Arial;Helvetica;sans-serif"/>
          <w:sz w:val="20"/>
        </w:rPr>
        <w:t>million for goods that we expect to receive within the next year.</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Retirement Plan</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We maintain a 401(k) retirement plan for our employees in which eligible employees can contribute a percentage of their pre-tax compensation. We recorded an expense related to our discretionary contributions to the 401(k) plan of $0.8</w:t>
      </w:r>
      <w:r>
        <w:rPr>
          <w:rFonts w:ascii="Times New Roman;Times;serif" w:hAnsi="Times New Roman;Times;serif"/>
          <w:sz w:val="20"/>
        </w:rPr>
        <w:t xml:space="preserve"> </w:t>
      </w:r>
      <w:r>
        <w:rPr>
          <w:rFonts w:ascii="Arial;Helvetica;sans-serif" w:hAnsi="Arial;Helvetica;sans-serif"/>
          <w:sz w:val="20"/>
        </w:rPr>
        <w:t>million and $0.7</w:t>
      </w:r>
      <w:r>
        <w:rPr>
          <w:rFonts w:ascii="Times New Roman;Times;serif" w:hAnsi="Times New Roman;Times;serif"/>
          <w:sz w:val="20"/>
        </w:rPr>
        <w:t xml:space="preserve"> </w:t>
      </w:r>
      <w:r>
        <w:rPr>
          <w:rFonts w:ascii="Arial;Helvetica;sans-serif" w:hAnsi="Arial;Helvetica;sans-serif"/>
          <w:sz w:val="20"/>
        </w:rPr>
        <w:t>million for the three months ended June 30, 2026 and 2025, respectively, and $1.6</w:t>
      </w:r>
      <w:r>
        <w:rPr>
          <w:rFonts w:ascii="Times New Roman;Times;serif" w:hAnsi="Times New Roman;Times;serif"/>
          <w:sz w:val="20"/>
        </w:rPr>
        <w:t xml:space="preserve"> </w:t>
      </w:r>
      <w:r>
        <w:rPr>
          <w:rFonts w:ascii="Arial;Helvetica;sans-serif" w:hAnsi="Arial;Helvetica;sans-serif"/>
          <w:sz w:val="20"/>
        </w:rPr>
        <w:t>and $1.4</w:t>
      </w:r>
      <w:r>
        <w:rPr>
          <w:rFonts w:ascii="Times New Roman;Times;serif" w:hAnsi="Times New Roman;Times;serif"/>
          <w:sz w:val="20"/>
        </w:rPr>
        <w:t xml:space="preserve"> </w:t>
      </w:r>
      <w:r>
        <w:rPr>
          <w:rFonts w:ascii="Arial;Helvetica;sans-serif" w:hAnsi="Arial;Helvetica;sans-serif"/>
          <w:sz w:val="20"/>
        </w:rPr>
        <w:t>million for the six months ended June 30, 2026 and 2025, respectively.</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Legal Proceedings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From time to time, we are subject to various claims and legal proceedings arising in the ordinary course of business. Regardless of outcome, litigation can have an adverse impact on us because of defense and settlement costs, diversion of management resources and other factors.</w:t>
      </w:r>
    </w:p>
    <w:p>
      <w:pPr>
        <w:pStyle w:val="TextBody"/>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October 25, 2024, the United States District Court, District of Massachusetts (Boston) unsealed two qui tam complaints against us, and we were served with these complaints on January 14, 2025, and January 21, 2025. The first complaint is captioned United States ex. rel. Benjaman Scarborough vs. Tactile Systems Technology, Inc., Case No. 1:21-cv-10813-IT, and was filed under seal on May 17, 2021, on behalf of the United States by a former employee (the “Scarborough Complaint”). The Scarborough Complaint alleges that we submitted false claims and made false statements in connection with the Medicare programs, in violation of the Federal False Claims Act. The second complaint is captioned United States ex. rel. Jackie Gorham, an individual, and Dustin Gast, an individual, vs. Tactile Systems Technology, Inc. Case No. 1:21-cv-11809-IT, and was filed under seal on September 1, 2021, on behalf of the United States by two former employees (the “Gorham Complaint”). The Gorham Complaint alleges that we submitted false claims and made false statements in connection with the Medicare, Medicare Advantage plans, Medicaid and other government payers, in violation of the Federal False Claims Act and submitted false claims resulting from kickbacks in violation of the Federal False Claims Act and the Federal Anti-Kickback Statute. Both complaints seek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damages, statutory penalties, attorneys’ fees, and costs. On February 24, 2025, the parties (the relators under both complaints and the Company) filed a joint motion requesting that both matters (hereinafter the “Actions”) be stayed until November 25, 2025, to provide time for the government to review and assess sample claims for the purpose of assessing the allegations. On February 25, 2025, the court granted the motion and issued orders that stayed the Actions until November 25, 2025. By joint motions of the parties granted by the court, the stay was extended until March 25, 2026, and subsequently until June 23, 2026. </w:t>
      </w:r>
    </w:p>
    <w:p>
      <w:pPr>
        <w:pStyle w:val="TextBody"/>
        <w:shd w:fill="FFFFFF" w:val="clear"/>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On April 14, 2026, the affected parties (government, relators, and the Company) reached an agreement in principle to settle the Actions for an aggregate payment by the Company of approximately $0.6</w:t>
      </w:r>
      <w:r>
        <w:rPr>
          <w:rFonts w:ascii="Times New Roman;Times;serif" w:hAnsi="Times New Roman;Times;serif"/>
          <w:sz w:val="20"/>
        </w:rPr>
        <w:t xml:space="preserve"> </w:t>
      </w:r>
      <w:r>
        <w:rPr>
          <w:rFonts w:ascii="Arial;Helvetica;sans-serif" w:hAnsi="Arial;Helvetica;sans-serif"/>
          <w:sz w:val="20"/>
        </w:rPr>
        <w:t>million, plus relators’ attorneys’ fees and costs. In connection with the agreement in principle, the Company recorded an accrual of approximately $1.0</w:t>
      </w:r>
      <w:r>
        <w:rPr>
          <w:rFonts w:ascii="Times New Roman;Times;serif" w:hAnsi="Times New Roman;Times;serif"/>
          <w:sz w:val="20"/>
        </w:rPr>
        <w:t xml:space="preserve"> </w:t>
      </w:r>
      <w:r>
        <w:rPr>
          <w:rFonts w:ascii="Arial;Helvetica;sans-serif" w:hAnsi="Arial;Helvetica;sans-serif"/>
          <w:sz w:val="20"/>
        </w:rPr>
        <w:t>million, inclusive of the proposed settlement amount and estimated relators’ attorneys’ fees and related costs, which is reflected in accrued expenses on the Condensed Consolidated Balance Sheet as of June 30, 2026. On July 14, 2026, the parties (government, relators, and the Company) executed the final settlement agreement resolving the Actions for an aggregate payment by the Company of approximately $0.6</w:t>
      </w:r>
      <w:r>
        <w:rPr>
          <w:rFonts w:ascii="Times New Roman;Times;serif" w:hAnsi="Times New Roman;Times;serif"/>
          <w:sz w:val="20"/>
        </w:rPr>
        <w:t xml:space="preserve"> </w:t>
      </w:r>
      <w:r>
        <w:rPr>
          <w:rFonts w:ascii="Arial;Helvetica;sans-serif" w:hAnsi="Arial;Helvetica;sans-serif"/>
          <w:sz w:val="20"/>
        </w:rPr>
        <w:t>million, plus relators’ attorneys’ fees and costs in an amount to be determined.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b/>
          <w:sz w:val="20"/>
        </w:rPr>
      </w:pPr>
      <w:bookmarkStart w:id="850" w:name="Tc_pRbhS8R__k2ru6Dmg5Nb9g_8_11"/>
      <w:bookmarkStart w:id="851" w:name="Tc_MVWxEYUC302gqu84PnffLg_8_8"/>
      <w:bookmarkStart w:id="852" w:name="Tc_ElVd_IglyUCy-LI_rHhEYg_8_5"/>
      <w:bookmarkStart w:id="853" w:name="Tc_DDETaC-XAUG9W4KDUHaqvA_8_2"/>
      <w:bookmarkStart w:id="854" w:name="Tc_x0yHcBWFXkKt3YH8Vrv8Yw_8_0"/>
      <w:bookmarkStart w:id="855" w:name="Tc_zPzlSxzmMkaXtj8dHV1v_Q_7_0"/>
      <w:bookmarkStart w:id="856" w:name="Tc_BCPPSeU6IUCOlEpjporaMw_6_0"/>
      <w:bookmarkStart w:id="857" w:name="Tc_eDvvtrNmIUuFRrkw7obZ5w_5_0"/>
      <w:bookmarkStart w:id="858" w:name="Tc_VrZxh6Qm-0qLgf1sMA130w_4_11"/>
      <w:bookmarkStart w:id="859" w:name="Tc_zluaZnpl9UOQObR3Y9HdXw_4_8"/>
      <w:bookmarkStart w:id="860" w:name="Tc_5JV_7i1s3UGbM6_zUns4Gg_4_5"/>
      <w:bookmarkStart w:id="861" w:name="Tc_O63bTv6EmUCEKJvcfd--VA_4_2"/>
      <w:bookmarkStart w:id="862" w:name="Tc_LZLOrO_e202SXhNawoHArg_4_0"/>
      <w:bookmarkStart w:id="863" w:name="Tc_H8UJCaTAwEa5inaDshWNCA_3_11"/>
      <w:bookmarkStart w:id="864" w:name="Tc_LHLjyn6CrkedIn1w2bPL8Q_3_8"/>
      <w:bookmarkStart w:id="865" w:name="Tc_W8sGniismEOOjUSSv4-kbA_3_5"/>
      <w:bookmarkStart w:id="866" w:name="Tc_IVWZa4rnoUmfNvRwf_kJrA_3_2"/>
      <w:bookmarkStart w:id="867" w:name="Tc_f7bKZ8O8Oke8CZibOPw4aw_3_0"/>
      <w:bookmarkStart w:id="868" w:name="Tc_GJLf7m6J2E2i6Bk0Kre9Eg_2_8"/>
      <w:bookmarkStart w:id="869" w:name="Tc_pSGYSPFHFkmPh1v38Ri8pg_2_2"/>
      <w:bookmarkStart w:id="870" w:name="Tc__vSyaULTNka13S0ZlkvCqw_1_8"/>
      <w:bookmarkStart w:id="871" w:name="Tc_rf-aWXUYZkm3Ys1hhZSBXQ_1_2"/>
      <w:bookmarkStart w:id="872" w:name="Tc_SXDoZ-cWZUGPV1D2S_DrRw_6_12"/>
      <w:bookmarkStart w:id="873" w:name="Tc_Tr3khk807ECyJOn4f5oXOQ_6_9"/>
      <w:bookmarkStart w:id="874" w:name="Tc_BDG7zWnB0kiZUVIlXMnTnw_6_5"/>
      <w:bookmarkStart w:id="875" w:name="Tc_TH5wrq1Hw0q0BGnpezmbFQ_6_2"/>
      <w:bookmarkStart w:id="876" w:name="Tc_FLZ1ZQZY1UaRdBE72AZJWQ_6_0"/>
      <w:bookmarkStart w:id="877" w:name="Tc_LKPOr6CDjkuaORQREO0hXw_5_12"/>
      <w:bookmarkStart w:id="878" w:name="Tc_ceIQ32136ECw3kLK3rEDIw_5_9"/>
      <w:bookmarkStart w:id="879" w:name="Tc_KdEGLhhL_EunYZyL3IgnCw_5_5"/>
      <w:bookmarkStart w:id="880" w:name="Tc_D8d64asxXEGyjxR-LoQ4ew_5_2"/>
      <w:bookmarkStart w:id="881" w:name="Tc_3ay5otW13EulG-1TzY3qew_5_0"/>
      <w:bookmarkStart w:id="882" w:name="Tc_3P8PhAEmpUut1hav9EhzDQ_4_0"/>
      <w:bookmarkStart w:id="883" w:name="Tc_hmEs4zPSnE2rQWPFNcqssw_3_13"/>
      <w:bookmarkStart w:id="884" w:name="Tc_BmhwJessukKSlfrwFfQNLA_3_10"/>
      <w:bookmarkStart w:id="885" w:name="Tc_jziybilvlECIcScbnvE7tA_3_6"/>
      <w:bookmarkStart w:id="886" w:name="Tc_IKjNz3yik0q7qHWgZBgbxg_3_3"/>
      <w:bookmarkStart w:id="887" w:name="Tc_f4N0HCLgY0aR20RsIS3_sw_3_0"/>
      <w:bookmarkStart w:id="888" w:name="Tc_Y7yOC50OsUm6gH6jAvPsvA_2_10"/>
      <w:bookmarkStart w:id="889" w:name="Tc_-yUCqXqhp0itIiUfKq-gUw_2_3"/>
      <w:bookmarkStart w:id="890" w:name="Tc_TjO26xA4WU6Wo9Ui5bHIXw_1_10"/>
      <w:bookmarkStart w:id="891" w:name="Tc_iX2-E0wmPUC32Z0WkKNOJA_1_3"/>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Arial;Helvetica;sans-serif" w:hAnsi="Arial;Helvetica;sans-serif"/>
          <w:b/>
          <w:sz w:val="20"/>
        </w:rPr>
        <w:t>Note 10. Stockholders' Equity</w:t>
      </w:r>
    </w:p>
    <w:p>
      <w:pPr>
        <w:pStyle w:val="TextBody"/>
        <w:pBdr/>
        <w:shd w:fill="FFFFFF" w:val="clear"/>
        <w:bidi w:val="0"/>
        <w:spacing w:before="0" w:after="0"/>
        <w:ind w:left="0" w:right="0" w:hanging="202"/>
        <w:jc w:val="both"/>
        <w:rPr>
          <w:rFonts w:ascii="Arial;Helvetica;sans-serif" w:hAnsi="Arial;Helvetica;sans-serif"/>
          <w:b/>
          <w:i/>
          <w:sz w:val="20"/>
        </w:rPr>
      </w:pPr>
      <w:r>
        <w:rPr>
          <w:rFonts w:ascii="Arial;Helvetica;sans-serif" w:hAnsi="Arial;Helvetica;sans-serif"/>
          <w:b/>
          <w:i/>
          <w:sz w:val="20"/>
        </w:rPr>
        <w:t>Share Repurchase Program</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On October 16, 2025, our Board of Directors authorized a new program to repurchase up to $25.0</w:t>
      </w:r>
      <w:r>
        <w:rPr>
          <w:rFonts w:ascii="Times New Roman;Times;serif" w:hAnsi="Times New Roman;Times;serif"/>
          <w:sz w:val="20"/>
        </w:rPr>
        <w:t xml:space="preserve"> </w:t>
      </w:r>
      <w:r>
        <w:rPr>
          <w:rFonts w:ascii="Arial;Helvetica;sans-serif" w:hAnsi="Arial;Helvetica;sans-serif"/>
          <w:sz w:val="20"/>
        </w:rPr>
        <w:t>million of our common stock, following the prior repurchase authorization that had been fully utilized. Under the new program, purchases may be made from time to time in the open market, in privately negotiated purchases, or both. The timing and number of shares to be purchased will be based on the price of the Company's common stock, general business and market conditions and other investment considerations and factors. This share repurchase program expires on November 3, 2027. The program does not obligate the Company to repurchase any specific number of shares and may be suspended or discontinued at any time without prior notice.</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We made repurchases under the applicable share repurchase program in the following periods, which include the market price of the shares, commissions and excise tax:</w:t>
      </w:r>
    </w:p>
    <w:p>
      <w:pPr>
        <w:pStyle w:val="TextBody"/>
        <w:bidi w:val="0"/>
        <w:spacing w:before="0" w:after="0"/>
        <w:ind w:left="0" w:right="0" w:hanging="0"/>
        <w:jc w:val="left"/>
        <w:rPr/>
      </w:pPr>
      <w:r>
        <w:rPr/>
        <w:t>​</w:t>
      </w:r>
    </w:p>
    <w:tbl>
      <w:tblPr>
        <w:tblW w:w="8654" w:type="dxa"/>
        <w:jc w:val="left"/>
        <w:tblInd w:w="0" w:type="dxa"/>
        <w:tblLayout w:type="fixed"/>
        <w:tblCellMar>
          <w:top w:w="0" w:type="dxa"/>
          <w:left w:w="0" w:type="dxa"/>
          <w:bottom w:w="0" w:type="dxa"/>
          <w:right w:w="0" w:type="dxa"/>
        </w:tblCellMar>
      </w:tblPr>
      <w:tblGrid>
        <w:gridCol w:w="3706"/>
        <w:gridCol w:w="109"/>
        <w:gridCol w:w="211"/>
        <w:gridCol w:w="796"/>
        <w:gridCol w:w="109"/>
        <w:gridCol w:w="211"/>
        <w:gridCol w:w="961"/>
        <w:gridCol w:w="109"/>
        <w:gridCol w:w="109"/>
        <w:gridCol w:w="211"/>
        <w:gridCol w:w="796"/>
        <w:gridCol w:w="109"/>
        <w:gridCol w:w="211"/>
        <w:gridCol w:w="100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353310" cy="175895"/>
                      <wp:effectExtent l="0" t="0" r="0" b="0"/>
                      <wp:wrapNone/>
                      <wp:docPr id="105" name="Frame105"/>
                      <a:graphic xmlns:a="http://schemas.openxmlformats.org/drawingml/2006/main">
                        <a:graphicData uri="http://schemas.microsoft.com/office/word/2010/wordprocessingShape">
                          <wps:wsp>
                            <wps:cNvSpPr txBox="1"/>
                            <wps:spPr>
                              <a:xfrm>
                                <a:off x="0" y="0"/>
                                <a:ext cx="23533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895"/>
                      <wp:effectExtent l="0" t="0" r="0" b="0"/>
                      <wp:wrapNone/>
                      <wp:docPr id="106" name="Frame10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895"/>
                      <wp:effectExtent l="0" t="0" r="0" b="0"/>
                      <wp:wrapNone/>
                      <wp:docPr id="107" name="Frame10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05460" cy="175895"/>
                      <wp:effectExtent l="0" t="0" r="0" b="0"/>
                      <wp:wrapNone/>
                      <wp:docPr id="108" name="Frame108"/>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895"/>
                      <wp:effectExtent l="0" t="0" r="0" b="0"/>
                      <wp:wrapNone/>
                      <wp:docPr id="109" name="Frame10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895"/>
                      <wp:effectExtent l="0" t="0" r="0" b="0"/>
                      <wp:wrapNone/>
                      <wp:docPr id="110" name="Frame11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10235" cy="175895"/>
                      <wp:effectExtent l="0" t="0" r="0" b="0"/>
                      <wp:wrapNone/>
                      <wp:docPr id="111" name="Frame111"/>
                      <a:graphic xmlns:a="http://schemas.openxmlformats.org/drawingml/2006/main">
                        <a:graphicData uri="http://schemas.microsoft.com/office/word/2010/wordprocessingShape">
                          <wps:wsp>
                            <wps:cNvSpPr txBox="1"/>
                            <wps:spPr>
                              <a:xfrm>
                                <a:off x="0" y="0"/>
                                <a:ext cx="610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895"/>
                      <wp:effectExtent l="0" t="0" r="0" b="0"/>
                      <wp:wrapNone/>
                      <wp:docPr id="112" name="Frame11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895"/>
                      <wp:effectExtent l="0" t="0" r="0" b="0"/>
                      <wp:wrapNone/>
                      <wp:docPr id="113" name="Frame11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895"/>
                      <wp:effectExtent l="0" t="0" r="0" b="0"/>
                      <wp:wrapNone/>
                      <wp:docPr id="114" name="Frame11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5460" cy="175895"/>
                      <wp:effectExtent l="0" t="0" r="0" b="0"/>
                      <wp:wrapNone/>
                      <wp:docPr id="115" name="Frame115"/>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895"/>
                      <wp:effectExtent l="0" t="0" r="0" b="0"/>
                      <wp:wrapNone/>
                      <wp:docPr id="116" name="Frame11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895"/>
                      <wp:effectExtent l="0" t="0" r="0" b="0"/>
                      <wp:wrapNone/>
                      <wp:docPr id="117" name="Frame11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38810" cy="175895"/>
                      <wp:effectExtent l="0" t="0" r="0" b="0"/>
                      <wp:wrapNone/>
                      <wp:docPr id="118" name="Frame118"/>
                      <a:graphic xmlns:a="http://schemas.openxmlformats.org/drawingml/2006/main">
                        <a:graphicData uri="http://schemas.microsoft.com/office/word/2010/wordprocessingShape">
                          <wps:wsp>
                            <wps:cNvSpPr txBox="1"/>
                            <wps:spPr>
                              <a:xfrm>
                                <a:off x="0" y="0"/>
                                <a:ext cx="638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2077" w:type="dxa"/>
            <w:gridSpan w:val="4"/>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2122" w:type="dxa"/>
            <w:gridSpan w:val="4"/>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Six Months Ended</w:t>
            </w:r>
          </w:p>
        </w:tc>
      </w:tr>
      <w:tr>
        <w:trPr/>
        <w:tc>
          <w:tcPr>
            <w:tcW w:w="370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2077" w:type="dxa"/>
            <w:gridSpan w:val="4"/>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2122" w:type="dxa"/>
            <w:gridSpan w:val="4"/>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w:t>
            </w:r>
          </w:p>
        </w:tc>
      </w:tr>
      <w:tr>
        <w:trPr/>
        <w:tc>
          <w:tcPr>
            <w:tcW w:w="370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 except share and per share data)</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70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Number of shares repurchased</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208,900</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6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1,507,496</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249,150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0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2,143,099</w:t>
            </w:r>
          </w:p>
        </w:tc>
      </w:tr>
      <w:tr>
        <w:trPr/>
        <w:tc>
          <w:tcPr>
            <w:tcW w:w="370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 shares repurchased cost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5,284</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16,704</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6,357</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26,772</w:t>
            </w:r>
          </w:p>
        </w:tc>
      </w:tr>
      <w:tr>
        <w:trPr/>
        <w:tc>
          <w:tcPr>
            <w:tcW w:w="370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Average total cost per repurchased share</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25.29</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11.08</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25.51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12.49</w:t>
            </w:r>
          </w:p>
        </w:tc>
      </w:tr>
    </w:tbl>
    <w:p>
      <w:pPr>
        <w:pStyle w:val="TextBody"/>
        <w:bidi w:val="0"/>
        <w:spacing w:before="0" w:after="0"/>
        <w:ind w:left="0" w:right="0" w:hanging="0"/>
        <w:jc w:val="left"/>
        <w:rPr/>
      </w:pPr>
      <w:r>
        <w:rPr/>
        <w:t>​</w:t>
      </w:r>
    </w:p>
    <w:p>
      <w:pPr>
        <w:pStyle w:val="TextBody"/>
        <w:pBdr/>
        <w:shd w:fill="FFFFFF" w:val="clear"/>
        <w:bidi w:val="0"/>
        <w:spacing w:before="280" w:after="0"/>
        <w:ind w:left="0" w:right="0" w:firstLine="720"/>
        <w:jc w:val="both"/>
        <w:rPr>
          <w:rFonts w:ascii="Times New Roman;Times;serif" w:hAnsi="Times New Roman;Times;serif"/>
          <w:sz w:val="20"/>
        </w:rPr>
      </w:pPr>
      <w:r>
        <w:rPr>
          <w:rFonts w:ascii="Arial;Helvetica;sans-serif" w:hAnsi="Arial;Helvetica;sans-serif"/>
          <w:sz w:val="20"/>
        </w:rPr>
        <w:t>As of June 30, 2026, approximately $18.7</w:t>
      </w:r>
      <w:r>
        <w:rPr>
          <w:rFonts w:ascii="Times New Roman;Times;serif" w:hAnsi="Times New Roman;Times;serif"/>
          <w:sz w:val="20"/>
        </w:rPr>
        <w:t xml:space="preserve"> </w:t>
      </w:r>
      <w:r>
        <w:rPr>
          <w:rFonts w:ascii="Arial;Helvetica;sans-serif" w:hAnsi="Arial;Helvetica;sans-serif"/>
          <w:sz w:val="20"/>
        </w:rPr>
        <w:t>million of authorized share repurchases were remaining under the share repurchase program. We expect that repurchases will be funded through available cash balances and ongoing business operating cash generation. Shares of common stock repurchased under the program are immediately retired. Repurchases under our share repurchase program reduce the weighted-average number of shares of common stock outstanding for basic and diluted earnings per share calculations.</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Stock-Based Compensation</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On May 7, 2025, our stockholders approved the Tactile Systems Technology, Inc. 2025 Equity Incentive Plan (the “2025 Plan”), which authorizes us to grant stock options, stock appreciation rights, restricted stock, stock units and other stock-based awards to employees, non-employee directors and certain consultants and advisors. The 2025 Plan provides for the issuance of up to 1,850,000</w:t>
      </w:r>
      <w:r>
        <w:rPr>
          <w:rFonts w:ascii="Times New Roman;Times;serif" w:hAnsi="Times New Roman;Times;serif"/>
          <w:sz w:val="20"/>
        </w:rPr>
        <w:t xml:space="preserve"> </w:t>
      </w:r>
      <w:r>
        <w:rPr>
          <w:rFonts w:ascii="Arial;Helvetica;sans-serif" w:hAnsi="Arial;Helvetica;sans-serif"/>
          <w:sz w:val="20"/>
        </w:rPr>
        <w:t>shares of our common stock, plus the number of shares subject to any award under the 2016 Equity Incentive Plan (the “2016 Plan”) that was outstanding on May 7, 2025 and that later expires, is cancelled or forfeited, is settled for cash or otherwise does not result in the issuance of all of the shares subject to such award. As of June 30, 2026, 1,449,457</w:t>
      </w:r>
      <w:r>
        <w:rPr>
          <w:rFonts w:ascii="Times New Roman;Times;serif" w:hAnsi="Times New Roman;Times;serif"/>
          <w:sz w:val="20"/>
        </w:rPr>
        <w:t xml:space="preserve"> </w:t>
      </w:r>
      <w:r>
        <w:rPr>
          <w:rFonts w:ascii="Arial;Helvetica;sans-serif" w:hAnsi="Arial;Helvetica;sans-serif"/>
          <w:sz w:val="20"/>
        </w:rPr>
        <w:t>shares were available for future grant pursuant to the 2025 Plan.</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Following our stockholders’ approval of the 2025 Plan on May 7, 2025, no</w:t>
      </w:r>
      <w:r>
        <w:rPr>
          <w:rFonts w:ascii="Times New Roman;Times;serif" w:hAnsi="Times New Roman;Times;serif"/>
          <w:sz w:val="20"/>
        </w:rPr>
        <w:t xml:space="preserve"> </w:t>
      </w:r>
      <w:r>
        <w:rPr>
          <w:rFonts w:ascii="Arial;Helvetica;sans-serif" w:hAnsi="Arial;Helvetica;sans-serif"/>
          <w:sz w:val="20"/>
        </w:rPr>
        <w:t>additional grants will be made under the 2016 Plan. However, outstanding awards under the 2016 Plan will continue to be governed by their respective original terms.</w:t>
      </w:r>
    </w:p>
    <w:p>
      <w:pPr>
        <w:pStyle w:val="TextBody"/>
        <w:shd w:fill="FFFFFF" w:val="clear"/>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We recorded stock-based compensation expense of $2.3</w:t>
      </w:r>
      <w:r>
        <w:rPr>
          <w:rFonts w:ascii="Times New Roman;Times;serif" w:hAnsi="Times New Roman;Times;serif"/>
          <w:sz w:val="20"/>
        </w:rPr>
        <w:t xml:space="preserve"> </w:t>
      </w:r>
      <w:r>
        <w:rPr>
          <w:rFonts w:ascii="Arial;Helvetica;sans-serif" w:hAnsi="Arial;Helvetica;sans-serif"/>
          <w:sz w:val="20"/>
        </w:rPr>
        <w:t>million and $1.9</w:t>
      </w:r>
      <w:r>
        <w:rPr>
          <w:rFonts w:ascii="Times New Roman;Times;serif" w:hAnsi="Times New Roman;Times;serif"/>
          <w:sz w:val="20"/>
        </w:rPr>
        <w:t xml:space="preserve"> </w:t>
      </w:r>
      <w:r>
        <w:rPr>
          <w:rFonts w:ascii="Arial;Helvetica;sans-serif" w:hAnsi="Arial;Helvetica;sans-serif"/>
          <w:sz w:val="20"/>
        </w:rPr>
        <w:t>million for the three</w:t>
      </w:r>
      <w:r>
        <w:rPr>
          <w:rFonts w:ascii="Times New Roman;Times;serif" w:hAnsi="Times New Roman;Times;serif"/>
          <w:sz w:val="20"/>
        </w:rPr>
        <w:t xml:space="preserve"> </w:t>
      </w:r>
      <w:r>
        <w:rPr>
          <w:rFonts w:ascii="Arial;Helvetica;sans-serif" w:hAnsi="Arial;Helvetica;sans-serif"/>
          <w:sz w:val="20"/>
        </w:rPr>
        <w:t>months ended June 30, 2026 and 2025, respectively, and $4.0</w:t>
      </w:r>
      <w:r>
        <w:rPr>
          <w:rFonts w:ascii="Times New Roman;Times;serif" w:hAnsi="Times New Roman;Times;serif"/>
          <w:sz w:val="20"/>
        </w:rPr>
        <w:t xml:space="preserve"> </w:t>
      </w:r>
      <w:r>
        <w:rPr>
          <w:rFonts w:ascii="Arial;Helvetica;sans-serif" w:hAnsi="Arial;Helvetica;sans-serif"/>
          <w:sz w:val="20"/>
        </w:rPr>
        <w:t>million for each of the six</w:t>
      </w:r>
      <w:r>
        <w:rPr>
          <w:rFonts w:ascii="Times New Roman;Times;serif" w:hAnsi="Times New Roman;Times;serif"/>
          <w:sz w:val="20"/>
        </w:rPr>
        <w:t xml:space="preserve"> </w:t>
      </w:r>
      <w:r>
        <w:rPr>
          <w:rFonts w:ascii="Arial;Helvetica;sans-serif" w:hAnsi="Arial;Helvetica;sans-serif"/>
          <w:sz w:val="20"/>
        </w:rPr>
        <w:t>months ended June 30, 2026 and 2025. This expense was allocated as follows:</w:t>
      </w:r>
    </w:p>
    <w:p>
      <w:pPr>
        <w:pStyle w:val="TextBody"/>
        <w:bidi w:val="0"/>
        <w:spacing w:before="0" w:after="0"/>
        <w:ind w:left="0" w:right="0" w:hanging="0"/>
        <w:jc w:val="left"/>
        <w:rPr/>
      </w:pPr>
      <w:r>
        <w:rPr/>
        <w:t>​</w:t>
      </w:r>
    </w:p>
    <w:tbl>
      <w:tblPr>
        <w:tblW w:w="9561" w:type="dxa"/>
        <w:jc w:val="left"/>
        <w:tblInd w:w="0" w:type="dxa"/>
        <w:tblLayout w:type="fixed"/>
        <w:tblCellMar>
          <w:top w:w="0" w:type="dxa"/>
          <w:left w:w="0" w:type="dxa"/>
          <w:bottom w:w="0" w:type="dxa"/>
          <w:right w:w="0" w:type="dxa"/>
        </w:tblCellMar>
      </w:tblPr>
      <w:tblGrid>
        <w:gridCol w:w="4786"/>
        <w:gridCol w:w="346"/>
        <w:gridCol w:w="221"/>
        <w:gridCol w:w="616"/>
        <w:gridCol w:w="364"/>
        <w:gridCol w:w="221"/>
        <w:gridCol w:w="616"/>
        <w:gridCol w:w="346"/>
        <w:gridCol w:w="211"/>
        <w:gridCol w:w="586"/>
        <w:gridCol w:w="346"/>
        <w:gridCol w:w="211"/>
        <w:gridCol w:w="691"/>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039110" cy="175895"/>
                      <wp:effectExtent l="0" t="0" r="0" b="0"/>
                      <wp:wrapNone/>
                      <wp:docPr id="119" name="Frame119"/>
                      <a:graphic xmlns:a="http://schemas.openxmlformats.org/drawingml/2006/main">
                        <a:graphicData uri="http://schemas.microsoft.com/office/word/2010/wordprocessingShape">
                          <wps:wsp>
                            <wps:cNvSpPr txBox="1"/>
                            <wps:spPr>
                              <a:xfrm>
                                <a:off x="0" y="0"/>
                                <a:ext cx="3039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895"/>
                      <wp:effectExtent l="0" t="0" r="0" b="0"/>
                      <wp:wrapNone/>
                      <wp:docPr id="120" name="Frame12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0335" cy="175895"/>
                      <wp:effectExtent l="0" t="0" r="0" b="0"/>
                      <wp:wrapNone/>
                      <wp:docPr id="121" name="Frame121"/>
                      <a:graphic xmlns:a="http://schemas.openxmlformats.org/drawingml/2006/main">
                        <a:graphicData uri="http://schemas.microsoft.com/office/word/2010/wordprocessingShape">
                          <wps:wsp>
                            <wps:cNvSpPr txBox="1"/>
                            <wps:spPr>
                              <a:xfrm>
                                <a:off x="0" y="0"/>
                                <a:ext cx="140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91160" cy="175895"/>
                      <wp:effectExtent l="0" t="0" r="0" b="0"/>
                      <wp:wrapNone/>
                      <wp:docPr id="122" name="Frame122"/>
                      <a:graphic xmlns:a="http://schemas.openxmlformats.org/drawingml/2006/main">
                        <a:graphicData uri="http://schemas.microsoft.com/office/word/2010/wordprocessingShape">
                          <wps:wsp>
                            <wps:cNvSpPr txBox="1"/>
                            <wps:spPr>
                              <a:xfrm>
                                <a:off x="0" y="0"/>
                                <a:ext cx="391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31140" cy="175895"/>
                      <wp:effectExtent l="0" t="0" r="0" b="0"/>
                      <wp:wrapNone/>
                      <wp:docPr id="123" name="Frame123"/>
                      <a:graphic xmlns:a="http://schemas.openxmlformats.org/drawingml/2006/main">
                        <a:graphicData uri="http://schemas.microsoft.com/office/word/2010/wordprocessingShape">
                          <wps:wsp>
                            <wps:cNvSpPr txBox="1"/>
                            <wps:spPr>
                              <a:xfrm>
                                <a:off x="0" y="0"/>
                                <a:ext cx="2311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0335" cy="175895"/>
                      <wp:effectExtent l="0" t="0" r="0" b="0"/>
                      <wp:wrapNone/>
                      <wp:docPr id="124" name="Frame124"/>
                      <a:graphic xmlns:a="http://schemas.openxmlformats.org/drawingml/2006/main">
                        <a:graphicData uri="http://schemas.microsoft.com/office/word/2010/wordprocessingShape">
                          <wps:wsp>
                            <wps:cNvSpPr txBox="1"/>
                            <wps:spPr>
                              <a:xfrm>
                                <a:off x="0" y="0"/>
                                <a:ext cx="140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91160" cy="175895"/>
                      <wp:effectExtent l="0" t="0" r="0" b="0"/>
                      <wp:wrapNone/>
                      <wp:docPr id="125" name="Frame125"/>
                      <a:graphic xmlns:a="http://schemas.openxmlformats.org/drawingml/2006/main">
                        <a:graphicData uri="http://schemas.microsoft.com/office/word/2010/wordprocessingShape">
                          <wps:wsp>
                            <wps:cNvSpPr txBox="1"/>
                            <wps:spPr>
                              <a:xfrm>
                                <a:off x="0" y="0"/>
                                <a:ext cx="391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895"/>
                      <wp:effectExtent l="0" t="0" r="0" b="0"/>
                      <wp:wrapNone/>
                      <wp:docPr id="126" name="Frame12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895"/>
                      <wp:effectExtent l="0" t="0" r="0" b="0"/>
                      <wp:wrapNone/>
                      <wp:docPr id="127" name="Frame12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72110" cy="175895"/>
                      <wp:effectExtent l="0" t="0" r="0" b="0"/>
                      <wp:wrapNone/>
                      <wp:docPr id="128" name="Frame128"/>
                      <a:graphic xmlns:a="http://schemas.openxmlformats.org/drawingml/2006/main">
                        <a:graphicData uri="http://schemas.microsoft.com/office/word/2010/wordprocessingShape">
                          <wps:wsp>
                            <wps:cNvSpPr txBox="1"/>
                            <wps:spPr>
                              <a:xfrm>
                                <a:off x="0" y="0"/>
                                <a:ext cx="372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895"/>
                      <wp:effectExtent l="0" t="0" r="0" b="0"/>
                      <wp:wrapNone/>
                      <wp:docPr id="129" name="Frame12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895"/>
                      <wp:effectExtent l="0" t="0" r="0" b="0"/>
                      <wp:wrapNone/>
                      <wp:docPr id="130" name="Frame13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38785" cy="175895"/>
                      <wp:effectExtent l="0" t="0" r="0" b="0"/>
                      <wp:wrapNone/>
                      <wp:docPr id="131" name="Frame131"/>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38"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346" w:type="dxa"/>
            <w:tcBorders/>
            <w:vAlign w:val="center"/>
          </w:tcPr>
          <w:p>
            <w:pPr>
              <w:pStyle w:val="TableContents"/>
              <w:bidi w:val="0"/>
              <w:spacing w:before="1" w:after="1"/>
              <w:ind w:left="0" w:right="0" w:hanging="0"/>
              <w:jc w:val="left"/>
              <w:rPr/>
            </w:pPr>
            <w:r>
              <w:rPr/>
              <w:t>​</w:t>
            </w:r>
          </w:p>
        </w:tc>
        <w:tc>
          <w:tcPr>
            <w:tcW w:w="2045"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478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346" w:type="dxa"/>
            <w:tcBorders/>
            <w:vAlign w:val="center"/>
          </w:tcPr>
          <w:p>
            <w:pPr>
              <w:pStyle w:val="TableContents"/>
              <w:bidi w:val="0"/>
              <w:spacing w:before="1" w:after="1"/>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478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left"/>
              <w:rPr/>
            </w:pPr>
            <w:r>
              <w:rPr/>
              <w:t>  ​ ​ ​</w:t>
            </w:r>
          </w:p>
        </w:tc>
        <w:tc>
          <w:tcPr>
            <w:tcW w:w="83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64" w:type="dxa"/>
            <w:tcBorders/>
            <w:vAlign w:val="center"/>
          </w:tcPr>
          <w:p>
            <w:pPr>
              <w:pStyle w:val="TableContents"/>
              <w:bidi w:val="0"/>
              <w:spacing w:before="1" w:after="1"/>
              <w:ind w:left="0" w:right="0" w:hanging="0"/>
              <w:jc w:val="left"/>
              <w:rPr/>
            </w:pPr>
            <w:r>
              <w:rPr/>
              <w:t>  ​ ​ ​</w:t>
            </w:r>
          </w:p>
        </w:tc>
        <w:tc>
          <w:tcPr>
            <w:tcW w:w="83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1"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1"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7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Cost of revenue</w:t>
            </w:r>
          </w:p>
        </w:tc>
        <w:tc>
          <w:tcPr>
            <w:tcW w:w="346" w:type="dxa"/>
            <w:tcBorders/>
            <w:shd w:fill="CCEEFF" w:val="clear"/>
            <w:vAlign w:val="center"/>
          </w:tcPr>
          <w:p>
            <w:pPr>
              <w:pStyle w:val="TableContents"/>
              <w:bidi w:val="0"/>
              <w:spacing w:before="1" w:after="1"/>
              <w:ind w:left="0" w:right="0" w:hanging="0"/>
              <w:jc w:val="left"/>
              <w:rPr/>
            </w:pPr>
            <w:r>
              <w:rPr/>
              <w:t>​</w:t>
            </w:r>
          </w:p>
        </w:tc>
        <w:tc>
          <w:tcPr>
            <w:tcW w:w="22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112</w:t>
            </w:r>
          </w:p>
        </w:tc>
        <w:tc>
          <w:tcPr>
            <w:tcW w:w="364" w:type="dxa"/>
            <w:tcBorders/>
            <w:shd w:fill="CCEEFF" w:val="clear"/>
            <w:vAlign w:val="center"/>
          </w:tcPr>
          <w:p>
            <w:pPr>
              <w:pStyle w:val="TableContents"/>
              <w:bidi w:val="0"/>
              <w:spacing w:before="1" w:after="1"/>
              <w:ind w:left="0" w:right="0" w:hanging="0"/>
              <w:jc w:val="left"/>
              <w:rPr/>
            </w:pPr>
            <w:r>
              <w:rPr/>
              <w:t>​</w:t>
            </w:r>
          </w:p>
        </w:tc>
        <w:tc>
          <w:tcPr>
            <w:tcW w:w="22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202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200</w:t>
            </w:r>
          </w:p>
        </w:tc>
      </w:tr>
      <w:tr>
        <w:trPr/>
        <w:tc>
          <w:tcPr>
            <w:tcW w:w="478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Sales and marketing expenses</w:t>
            </w:r>
          </w:p>
        </w:tc>
        <w:tc>
          <w:tcPr>
            <w:tcW w:w="346" w:type="dxa"/>
            <w:tcBorders/>
            <w:vAlign w:val="center"/>
          </w:tcPr>
          <w:p>
            <w:pPr>
              <w:pStyle w:val="TableContents"/>
              <w:bidi w:val="0"/>
              <w:spacing w:before="1" w:after="1"/>
              <w:ind w:left="0" w:right="0" w:hanging="0"/>
              <w:jc w:val="left"/>
              <w:rPr/>
            </w:pPr>
            <w:r>
              <w:rPr/>
              <w:t>​</w:t>
            </w:r>
          </w:p>
        </w:tc>
        <w:tc>
          <w:tcPr>
            <w:tcW w:w="221" w:type="dxa"/>
            <w:tcBorders/>
            <w:vAlign w:val="center"/>
          </w:tcPr>
          <w:p>
            <w:pPr>
              <w:pStyle w:val="TableContents"/>
              <w:bidi w:val="0"/>
              <w:spacing w:before="1" w:after="1"/>
              <w:ind w:left="0" w:right="0" w:hanging="0"/>
              <w:jc w:val="left"/>
              <w:rPr/>
            </w:pPr>
            <w:r>
              <w:rPr/>
              <w:t>​</w:t>
            </w:r>
          </w:p>
        </w:tc>
        <w:tc>
          <w:tcPr>
            <w:tcW w:w="61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430</w:t>
            </w:r>
          </w:p>
        </w:tc>
        <w:tc>
          <w:tcPr>
            <w:tcW w:w="364" w:type="dxa"/>
            <w:tcBorders/>
            <w:vAlign w:val="center"/>
          </w:tcPr>
          <w:p>
            <w:pPr>
              <w:pStyle w:val="TableContents"/>
              <w:bidi w:val="0"/>
              <w:spacing w:before="1" w:after="1"/>
              <w:ind w:left="0" w:right="0" w:hanging="0"/>
              <w:jc w:val="left"/>
              <w:rPr/>
            </w:pPr>
            <w:r>
              <w:rPr/>
              <w:t>​</w:t>
            </w:r>
          </w:p>
        </w:tc>
        <w:tc>
          <w:tcPr>
            <w:tcW w:w="221" w:type="dxa"/>
            <w:tcBorders/>
            <w:vAlign w:val="center"/>
          </w:tcPr>
          <w:p>
            <w:pPr>
              <w:pStyle w:val="TableContents"/>
              <w:bidi w:val="0"/>
              <w:spacing w:before="1" w:after="1"/>
              <w:ind w:left="0" w:right="0" w:hanging="0"/>
              <w:jc w:val="left"/>
              <w:rPr/>
            </w:pPr>
            <w:r>
              <w:rPr/>
              <w:t>​</w:t>
            </w:r>
          </w:p>
        </w:tc>
        <w:tc>
          <w:tcPr>
            <w:tcW w:w="61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465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877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968</w:t>
            </w:r>
          </w:p>
        </w:tc>
      </w:tr>
      <w:tr>
        <w:trPr/>
        <w:tc>
          <w:tcPr>
            <w:tcW w:w="47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Research and development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21" w:type="dxa"/>
            <w:tcBorders/>
            <w:shd w:fill="CCEEFF" w:val="clear"/>
            <w:vAlign w:val="center"/>
          </w:tcPr>
          <w:p>
            <w:pPr>
              <w:pStyle w:val="TableContents"/>
              <w:bidi w:val="0"/>
              <w:spacing w:before="1" w:after="1"/>
              <w:ind w:left="0" w:right="0" w:hanging="0"/>
              <w:jc w:val="left"/>
              <w:rPr/>
            </w:pPr>
            <w:r>
              <w:rPr/>
              <w:t>​</w:t>
            </w:r>
          </w:p>
        </w:tc>
        <w:tc>
          <w:tcPr>
            <w:tcW w:w="61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34</w:t>
            </w:r>
          </w:p>
        </w:tc>
        <w:tc>
          <w:tcPr>
            <w:tcW w:w="364" w:type="dxa"/>
            <w:tcBorders/>
            <w:shd w:fill="CCEEFF" w:val="clear"/>
            <w:vAlign w:val="center"/>
          </w:tcPr>
          <w:p>
            <w:pPr>
              <w:pStyle w:val="TableContents"/>
              <w:bidi w:val="0"/>
              <w:spacing w:before="1" w:after="1"/>
              <w:ind w:left="0" w:right="0" w:hanging="0"/>
              <w:jc w:val="left"/>
              <w:rPr/>
            </w:pPr>
            <w:r>
              <w:rPr/>
              <w:t>​</w:t>
            </w:r>
          </w:p>
        </w:tc>
        <w:tc>
          <w:tcPr>
            <w:tcW w:w="221" w:type="dxa"/>
            <w:tcBorders/>
            <w:shd w:fill="CCEEFF" w:val="clear"/>
            <w:vAlign w:val="center"/>
          </w:tcPr>
          <w:p>
            <w:pPr>
              <w:pStyle w:val="TableContents"/>
              <w:bidi w:val="0"/>
              <w:spacing w:before="1" w:after="1"/>
              <w:ind w:left="0" w:right="0" w:hanging="0"/>
              <w:jc w:val="left"/>
              <w:rPr/>
            </w:pPr>
            <w:r>
              <w:rPr/>
              <w:t>​</w:t>
            </w:r>
          </w:p>
        </w:tc>
        <w:tc>
          <w:tcPr>
            <w:tcW w:w="61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85</w:t>
            </w:r>
          </w:p>
        </w:tc>
      </w:tr>
      <w:tr>
        <w:trPr/>
        <w:tc>
          <w:tcPr>
            <w:tcW w:w="478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Reimbursement, general and administrative expenses</w:t>
            </w:r>
          </w:p>
        </w:tc>
        <w:tc>
          <w:tcPr>
            <w:tcW w:w="346" w:type="dxa"/>
            <w:tcBorders/>
            <w:vAlign w:val="center"/>
          </w:tcPr>
          <w:p>
            <w:pPr>
              <w:pStyle w:val="TableContents"/>
              <w:bidi w:val="0"/>
              <w:spacing w:before="1"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1,684</w:t>
            </w:r>
          </w:p>
        </w:tc>
        <w:tc>
          <w:tcPr>
            <w:tcW w:w="364" w:type="dxa"/>
            <w:tcBorders/>
            <w:vAlign w:val="center"/>
          </w:tcPr>
          <w:p>
            <w:pPr>
              <w:pStyle w:val="TableContents"/>
              <w:bidi w:val="0"/>
              <w:spacing w:before="1"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1,321</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2,883</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2,752</w:t>
            </w:r>
          </w:p>
        </w:tc>
      </w:tr>
      <w:tr>
        <w:trPr/>
        <w:tc>
          <w:tcPr>
            <w:tcW w:w="47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 stock-based compensation expense</w:t>
            </w:r>
          </w:p>
        </w:tc>
        <w:tc>
          <w:tcPr>
            <w:tcW w:w="346" w:type="dxa"/>
            <w:tcBorders/>
            <w:shd w:fill="CCEEFF" w:val="clear"/>
            <w:vAlign w:val="center"/>
          </w:tcPr>
          <w:p>
            <w:pPr>
              <w:pStyle w:val="TableContents"/>
              <w:bidi w:val="0"/>
              <w:spacing w:before="1"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2,260</w:t>
            </w:r>
          </w:p>
        </w:tc>
        <w:tc>
          <w:tcPr>
            <w:tcW w:w="364" w:type="dxa"/>
            <w:tcBorders/>
            <w:shd w:fill="CCEEFF" w:val="clear"/>
            <w:vAlign w:val="center"/>
          </w:tcPr>
          <w:p>
            <w:pPr>
              <w:pStyle w:val="TableContents"/>
              <w:bidi w:val="0"/>
              <w:spacing w:before="1"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1,939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4,040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4,005</w:t>
            </w:r>
          </w:p>
        </w:tc>
      </w:tr>
    </w:tbl>
    <w:p>
      <w:pPr>
        <w:pStyle w:val="TextBody"/>
        <w:pBdr/>
        <w:shd w:fill="FFFFFF" w:val="clear"/>
        <w:bidi w:val="0"/>
        <w:spacing w:before="100" w:after="10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b/>
          <w:i/>
          <w:sz w:val="20"/>
        </w:rPr>
      </w:pPr>
      <w:bookmarkStart w:id="892" w:name="Tc_BALrgV9NJ02glQDwMhFB1Q_9_7"/>
      <w:bookmarkStart w:id="893" w:name="Tc_QtQmGIH66E-ANvA0TDZwOA_9_4"/>
      <w:bookmarkStart w:id="894" w:name="Tc_BLlJa7BOQkKOHSfVATJb5g_9_0"/>
      <w:bookmarkStart w:id="895" w:name="Tc_YiQm9lqagEOJ7j-ZaIcB5A_8_0"/>
      <w:bookmarkStart w:id="896" w:name="Tc_2tU8I0PkKEyKE_U7F7YmQg_7_0"/>
      <w:bookmarkStart w:id="897" w:name="Tc_KsREn7-g_UCBeQxbXRBWuA_6_0"/>
      <w:bookmarkStart w:id="898" w:name="Tc_K1fGEOgGpEat5tlvineUTQ_5_7"/>
      <w:bookmarkStart w:id="899" w:name="Tc_4wnpEd3QekOOmtGqftznxg_5_4"/>
      <w:bookmarkStart w:id="900" w:name="Tc_JVwmqUfi5EWjLxmDfstsbw_5_0"/>
      <w:bookmarkStart w:id="901" w:name="Tc_KEvzEpzenUS3qVJuAmJwRQ_4_7"/>
      <w:bookmarkStart w:id="902" w:name="Tc_0n-lsSdiSkW_elXZB8820g_4_4"/>
      <w:bookmarkStart w:id="903" w:name="Tc_CL1MeK5IyUupydLkDyKu7A_4_2"/>
      <w:bookmarkStart w:id="904" w:name="Tc_TcA_e-dWbkmvy3ajUPTNqA_4_0"/>
      <w:bookmarkStart w:id="905" w:name="Tc_tQNhj6oyDUW0XqMyHyr4Rw_3_7"/>
      <w:bookmarkStart w:id="906" w:name="Tc_F0d8Tt926EqcVFNijXhtQw_3_4"/>
      <w:bookmarkStart w:id="907" w:name="Tc_DOlybeeSJE6H0Egicg4mMA_3_2"/>
      <w:bookmarkStart w:id="908" w:name="Tc_ORNcOWEGyUCx7LpaC_woQQ_2_7"/>
      <w:bookmarkStart w:id="909" w:name="Tc_MTi65dOvTEyXqKjd_WYJzA_2_4"/>
      <w:bookmarkStart w:id="910" w:name="Tc_FVV9wxfYb0a9wFtSXG7WfA_1_4"/>
      <w:bookmarkStart w:id="911" w:name="_12a329ba_38b6_4c14_8c4b_6a0e666cc910"/>
      <w:bookmarkStart w:id="912" w:name="Tc_OBJNN7IbQ0CuNCaTc_9RXw_10_9"/>
      <w:bookmarkStart w:id="913" w:name="Tc_mnQI84WyR0aZ3keOrccT4A_10_7"/>
      <w:bookmarkStart w:id="914" w:name="Tc_H5A3l5BoJUiJWSP215uDew_10_4"/>
      <w:bookmarkStart w:id="915" w:name="Tc_-lrSIlDXy02eCLdPI2eoEw_10_0"/>
      <w:bookmarkStart w:id="916" w:name="Tc_A7EnmCAv4EuKSkpKz0vuQw_8_9"/>
      <w:bookmarkStart w:id="917" w:name="Tc_lJz-mUE3JEu4VbzoTm98mg_8_7"/>
      <w:bookmarkStart w:id="918" w:name="Tc_3PwtXlvXdE-LS5R-N7nQyA_8_4"/>
      <w:bookmarkStart w:id="919" w:name="Tc_cGXeKc6TH0aiFhMEYYmsiA_8_0"/>
      <w:bookmarkStart w:id="920" w:name="Tc_GcmD093hsE6c3WRWMaHFEw_7_0"/>
      <w:bookmarkStart w:id="921" w:name="Tc_jqWsAkiiz0G8QyaBa8yAoA_6_9"/>
      <w:bookmarkStart w:id="922" w:name="Tc_ij5jf7LcAk6qZCv0K1sWMw_6_0"/>
      <w:bookmarkStart w:id="923" w:name="Tc_kna1vjCdkEi9Odvid7ebnA_5_9"/>
      <w:bookmarkStart w:id="924" w:name="Tc_O_8Z0rAJWEOivu4JG_nEeg_5_7"/>
      <w:bookmarkStart w:id="925" w:name="Tc_yJ_PCwk7XEyxZevq1ZHqzQ_5_4"/>
      <w:bookmarkStart w:id="926" w:name="Tc_ZjDDdPVJvUOIymQTe5y1YA_5_0"/>
      <w:bookmarkStart w:id="927" w:name="Tc_e_TD50dB6U-wDLhGzJOIDg_4_9"/>
      <w:bookmarkStart w:id="928" w:name="Tc_GRZRln8NxEWLi-4V_bx70A_4_7"/>
      <w:bookmarkStart w:id="929" w:name="Tc_DIVymkTuXkmLyVwk4EckXA_4_4"/>
      <w:bookmarkStart w:id="930" w:name="Tc_O4ttCQSGWUabyPGAi6RJiQ_4_2"/>
      <w:bookmarkStart w:id="931" w:name="Tc_0kuPXfAL70-vvmeo8c5Qew_4_0"/>
      <w:bookmarkStart w:id="932" w:name="Tc_TEnZlQIPVkqynOqwyOZNOw_3_9"/>
      <w:bookmarkStart w:id="933" w:name="Tc_zrG520QjwEm0vSx2OhQD3Q_3_7"/>
      <w:bookmarkStart w:id="934" w:name="Tc_mO07CmsFjkqe0wV_TfJLhQ_3_4"/>
      <w:bookmarkStart w:id="935" w:name="Tc_K9g6CEC0rkCpJ6LoiPJXTQ_3_2"/>
      <w:bookmarkStart w:id="936" w:name="Tc_48zE2VxkhkyOjJ81n_183A_2_9"/>
      <w:bookmarkStart w:id="937" w:name="Tc_aP1ACvgntUC4OXq3zPEuJw_2_7"/>
      <w:bookmarkStart w:id="938" w:name="Tc_gQIJvIm91kKLh16PEAjAyg_2_4"/>
      <w:bookmarkStart w:id="939" w:name="Tc_7qOmr2oemk6TJhYlMiXqWA_1_7"/>
      <w:bookmarkStart w:id="940" w:name="Tc_-PN8kitlX0yJ2WJ1ouyRcQ_1_4"/>
      <w:bookmarkStart w:id="941" w:name="_60fdbf6d_f4d4_495e_95c2_17ad2090d435"/>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Arial;Helvetica;sans-serif" w:hAnsi="Arial;Helvetica;sans-serif"/>
          <w:b/>
          <w:i/>
          <w:sz w:val="20"/>
        </w:rPr>
        <w:t>Stock Options</w:t>
      </w:r>
    </w:p>
    <w:p>
      <w:pPr>
        <w:pStyle w:val="TextBody"/>
        <w:pBdr/>
        <w:shd w:fill="FFFFFF" w:val="clear"/>
        <w:bidi w:val="0"/>
        <w:spacing w:before="0" w:after="0"/>
        <w:ind w:left="0" w:right="0" w:firstLine="720"/>
        <w:jc w:val="both"/>
        <w:rPr>
          <w:rFonts w:ascii="Times New Roman;Times;serif" w:hAnsi="Times New Roman;Times;serif"/>
          <w:sz w:val="24"/>
        </w:rPr>
      </w:pPr>
      <w:r>
        <w:rPr>
          <w:rFonts w:ascii="Arial;Helvetica;sans-serif" w:hAnsi="Arial;Helvetica;sans-serif"/>
          <w:sz w:val="20"/>
        </w:rPr>
        <w:t xml:space="preserve">Stock options issued to participants other than non-employees typically vest over </w:t>
      </w:r>
      <w:r>
        <w:rPr>
          <w:rFonts w:ascii="Arial;Helvetica;sans-serif" w:hAnsi="Arial;Helvetica;sans-serif"/>
          <w:b w:val="false"/>
          <w:i w:val="false"/>
          <w:caps w:val="false"/>
          <w:smallCaps w:val="false"/>
          <w:sz w:val="20"/>
        </w:rPr>
        <w:t>three</w:t>
      </w:r>
      <w:r>
        <w:rPr>
          <w:rFonts w:ascii="Times New Roman;Times;serif" w:hAnsi="Times New Roman;Times;serif"/>
          <w:sz w:val="24"/>
        </w:rPr>
        <w:t xml:space="preserve"> </w:t>
      </w:r>
      <w:r>
        <w:rPr>
          <w:rFonts w:ascii="Arial;Helvetica;sans-serif" w:hAnsi="Arial;Helvetica;sans-serif"/>
          <w:sz w:val="20"/>
        </w:rPr>
        <w:t>or four years</w:t>
      </w:r>
      <w:r>
        <w:rPr>
          <w:rFonts w:ascii="Times New Roman;Times;serif" w:hAnsi="Times New Roman;Times;serif"/>
          <w:sz w:val="24"/>
        </w:rPr>
        <w:t xml:space="preserve"> </w:t>
      </w:r>
      <w:r>
        <w:rPr>
          <w:rFonts w:ascii="Arial;Helvetica;sans-serif" w:hAnsi="Arial;Helvetica;sans-serif"/>
          <w:sz w:val="20"/>
        </w:rPr>
        <w:t xml:space="preserve">and typically have a contractual term of </w:t>
      </w:r>
      <w:r>
        <w:rPr>
          <w:rFonts w:ascii="Arial;Helvetica;sans-serif" w:hAnsi="Arial;Helvetica;sans-serif"/>
          <w:b w:val="false"/>
          <w:i w:val="false"/>
          <w:caps w:val="false"/>
          <w:smallCaps w:val="false"/>
          <w:sz w:val="20"/>
        </w:rPr>
        <w:t>seven</w:t>
      </w:r>
      <w:r>
        <w:rPr>
          <w:rFonts w:ascii="Times New Roman;Times;serif" w:hAnsi="Times New Roman;Times;serif"/>
          <w:sz w:val="24"/>
        </w:rPr>
        <w:t xml:space="preserve"> </w:t>
      </w:r>
      <w:r>
        <w:rPr>
          <w:rFonts w:ascii="Arial;Helvetica;sans-serif" w:hAnsi="Arial;Helvetica;sans-serif"/>
          <w:sz w:val="20"/>
        </w:rPr>
        <w:t>or ten years. No</w:t>
      </w:r>
      <w:r>
        <w:rPr>
          <w:rFonts w:ascii="Times New Roman;Times;serif" w:hAnsi="Times New Roman;Times;serif"/>
          <w:sz w:val="24"/>
        </w:rPr>
        <w:t xml:space="preserve"> </w:t>
      </w:r>
      <w:r>
        <w:rPr>
          <w:rFonts w:ascii="Arial;Helvetica;sans-serif" w:hAnsi="Arial;Helvetica;sans-serif"/>
          <w:sz w:val="20"/>
        </w:rPr>
        <w:t>stock-based compensation expense was included in the Condensed Consolidated Statements of Operations for stock options for each of the three and six months ended June 30, 2026 and 2025. As of June 30, 2026, there was no</w:t>
      </w:r>
      <w:r>
        <w:rPr>
          <w:rFonts w:ascii="Times New Roman;Times;serif" w:hAnsi="Times New Roman;Times;serif"/>
          <w:sz w:val="24"/>
        </w:rPr>
        <w:t xml:space="preserve"> </w:t>
      </w:r>
      <w:r>
        <w:rPr>
          <w:rFonts w:ascii="Arial;Helvetica;sans-serif" w:hAnsi="Arial;Helvetica;sans-serif"/>
          <w:sz w:val="20"/>
        </w:rPr>
        <w:t>unrecognized pre-tax stock option expense under our equity compensation plans.</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stock option activity for the three months ended June 30, 2026, was as follows:</w:t>
      </w:r>
    </w:p>
    <w:p>
      <w:pPr>
        <w:pStyle w:val="TextBody"/>
        <w:bidi w:val="0"/>
        <w:spacing w:before="0" w:after="0"/>
        <w:ind w:left="0" w:right="0" w:hanging="0"/>
        <w:jc w:val="left"/>
        <w:rPr/>
      </w:pPr>
      <w:r>
        <w:rPr/>
        <w:t>​</w:t>
      </w:r>
    </w:p>
    <w:tbl>
      <w:tblPr>
        <w:tblW w:w="9063" w:type="dxa"/>
        <w:jc w:val="left"/>
        <w:tblInd w:w="0" w:type="dxa"/>
        <w:tblLayout w:type="fixed"/>
        <w:tblCellMar>
          <w:top w:w="0" w:type="dxa"/>
          <w:left w:w="0" w:type="dxa"/>
          <w:bottom w:w="0" w:type="dxa"/>
          <w:right w:w="0" w:type="dxa"/>
        </w:tblCellMar>
      </w:tblPr>
      <w:tblGrid>
        <w:gridCol w:w="3721"/>
        <w:gridCol w:w="346"/>
        <w:gridCol w:w="1111"/>
        <w:gridCol w:w="109"/>
        <w:gridCol w:w="317"/>
        <w:gridCol w:w="884"/>
        <w:gridCol w:w="109"/>
        <w:gridCol w:w="1381"/>
        <w:gridCol w:w="109"/>
        <w:gridCol w:w="279"/>
        <w:gridCol w:w="697"/>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362835" cy="175895"/>
                      <wp:effectExtent l="0" t="0" r="0" b="0"/>
                      <wp:wrapNone/>
                      <wp:docPr id="132" name="Frame132"/>
                      <a:graphic xmlns:a="http://schemas.openxmlformats.org/drawingml/2006/main">
                        <a:graphicData uri="http://schemas.microsoft.com/office/word/2010/wordprocessingShape">
                          <wps:wsp>
                            <wps:cNvSpPr txBox="1"/>
                            <wps:spPr>
                              <a:xfrm>
                                <a:off x="0" y="0"/>
                                <a:ext cx="2362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895"/>
                      <wp:effectExtent l="0" t="0" r="0" b="0"/>
                      <wp:wrapNone/>
                      <wp:docPr id="133" name="Frame13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05485" cy="175895"/>
                      <wp:effectExtent l="0" t="0" r="0" b="0"/>
                      <wp:wrapNone/>
                      <wp:docPr id="134" name="Frame134"/>
                      <a:graphic xmlns:a="http://schemas.openxmlformats.org/drawingml/2006/main">
                        <a:graphicData uri="http://schemas.microsoft.com/office/word/2010/wordprocessingShape">
                          <wps:wsp>
                            <wps:cNvSpPr txBox="1"/>
                            <wps:spPr>
                              <a:xfrm>
                                <a:off x="0" y="0"/>
                                <a:ext cx="705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895"/>
                      <wp:effectExtent l="0" t="0" r="0" b="0"/>
                      <wp:wrapNone/>
                      <wp:docPr id="135" name="Frame13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1295" cy="175895"/>
                      <wp:effectExtent l="0" t="0" r="0" b="0"/>
                      <wp:wrapNone/>
                      <wp:docPr id="136" name="Frame136"/>
                      <a:graphic xmlns:a="http://schemas.openxmlformats.org/drawingml/2006/main">
                        <a:graphicData uri="http://schemas.microsoft.com/office/word/2010/wordprocessingShape">
                          <wps:wsp>
                            <wps:cNvSpPr txBox="1"/>
                            <wps:spPr>
                              <a:xfrm>
                                <a:off x="0" y="0"/>
                                <a:ext cx="2012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1340" cy="175895"/>
                      <wp:effectExtent l="0" t="0" r="0" b="0"/>
                      <wp:wrapNone/>
                      <wp:docPr id="137" name="Frame137"/>
                      <a:graphic xmlns:a="http://schemas.openxmlformats.org/drawingml/2006/main">
                        <a:graphicData uri="http://schemas.microsoft.com/office/word/2010/wordprocessingShape">
                          <wps:wsp>
                            <wps:cNvSpPr txBox="1"/>
                            <wps:spPr>
                              <a:xfrm>
                                <a:off x="0" y="0"/>
                                <a:ext cx="5613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895"/>
                      <wp:effectExtent l="0" t="0" r="0" b="0"/>
                      <wp:wrapNone/>
                      <wp:docPr id="138" name="Frame13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876935" cy="175895"/>
                      <wp:effectExtent l="0" t="0" r="0" b="0"/>
                      <wp:wrapNone/>
                      <wp:docPr id="139" name="Frame139"/>
                      <a:graphic xmlns:a="http://schemas.openxmlformats.org/drawingml/2006/main">
                        <a:graphicData uri="http://schemas.microsoft.com/office/word/2010/wordprocessingShape">
                          <wps:wsp>
                            <wps:cNvSpPr txBox="1"/>
                            <wps:spPr>
                              <a:xfrm>
                                <a:off x="0" y="0"/>
                                <a:ext cx="876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895"/>
                      <wp:effectExtent l="0" t="0" r="0" b="0"/>
                      <wp:wrapNone/>
                      <wp:docPr id="140" name="Frame14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7165" cy="175895"/>
                      <wp:effectExtent l="0" t="0" r="0" b="0"/>
                      <wp:wrapNone/>
                      <wp:docPr id="141" name="Frame141"/>
                      <a:graphic xmlns:a="http://schemas.openxmlformats.org/drawingml/2006/main">
                        <a:graphicData uri="http://schemas.microsoft.com/office/word/2010/wordprocessingShape">
                          <wps:wsp>
                            <wps:cNvSpPr txBox="1"/>
                            <wps:spPr>
                              <a:xfrm>
                                <a:off x="0" y="0"/>
                                <a:ext cx="1771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42595" cy="175895"/>
                      <wp:effectExtent l="0" t="0" r="0" b="0"/>
                      <wp:wrapNone/>
                      <wp:docPr id="142" name="Frame142"/>
                      <a:graphic xmlns:a="http://schemas.openxmlformats.org/drawingml/2006/main">
                        <a:graphicData uri="http://schemas.microsoft.com/office/word/2010/wordprocessingShape">
                          <wps:wsp>
                            <wps:cNvSpPr txBox="1"/>
                            <wps:spPr>
                              <a:xfrm>
                                <a:off x="0" y="0"/>
                                <a:ext cx="4425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111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201" w:type="dxa"/>
            <w:gridSpan w:val="2"/>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109" w:type="dxa"/>
            <w:tcBorders/>
            <w:vAlign w:val="center"/>
          </w:tcPr>
          <w:p>
            <w:pPr>
              <w:pStyle w:val="TableContents"/>
              <w:bidi w:val="0"/>
              <w:spacing w:before="1" w:after="1"/>
              <w:ind w:left="0" w:right="0" w:hanging="0"/>
              <w:jc w:val="left"/>
              <w:rPr/>
            </w:pPr>
            <w:r>
              <w:rPr/>
              <w:t>​</w:t>
            </w:r>
          </w:p>
        </w:tc>
        <w:tc>
          <w:tcPr>
            <w:tcW w:w="1381" w:type="dxa"/>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109" w:type="dxa"/>
            <w:tcBorders/>
            <w:vAlign w:val="center"/>
          </w:tcPr>
          <w:p>
            <w:pPr>
              <w:pStyle w:val="TableContents"/>
              <w:bidi w:val="0"/>
              <w:spacing w:before="1" w:after="1"/>
              <w:ind w:left="0" w:right="0" w:hanging="0"/>
              <w:jc w:val="center"/>
              <w:rPr/>
            </w:pPr>
            <w:r>
              <w:rPr/>
              <w:t>​</w:t>
            </w:r>
          </w:p>
        </w:tc>
        <w:tc>
          <w:tcPr>
            <w:tcW w:w="279" w:type="dxa"/>
            <w:tcBorders/>
            <w:vAlign w:val="center"/>
          </w:tcPr>
          <w:p>
            <w:pPr>
              <w:pStyle w:val="TableContents"/>
              <w:bidi w:val="0"/>
              <w:spacing w:before="1" w:after="1"/>
              <w:ind w:left="0" w:right="0" w:hanging="0"/>
              <w:jc w:val="center"/>
              <w:rPr/>
            </w:pPr>
            <w:r>
              <w:rPr/>
              <w:t>​</w:t>
            </w:r>
          </w:p>
        </w:tc>
        <w:tc>
          <w:tcPr>
            <w:tcW w:w="697" w:type="dxa"/>
            <w:tcBorders/>
            <w:vAlign w:val="center"/>
          </w:tcPr>
          <w:p>
            <w:pPr>
              <w:pStyle w:val="TableContents"/>
              <w:bidi w:val="0"/>
              <w:spacing w:before="1" w:after="1"/>
              <w:ind w:left="0" w:right="0" w:hanging="0"/>
              <w:jc w:val="center"/>
              <w:rPr/>
            </w:pPr>
            <w:r>
              <w:rPr/>
              <w:t>​</w:t>
            </w:r>
          </w:p>
        </w:tc>
      </w:tr>
      <w:tr>
        <w:trPr/>
        <w:tc>
          <w:tcPr>
            <w:tcW w:w="372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11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201" w:type="dxa"/>
            <w:gridSpan w:val="2"/>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109" w:type="dxa"/>
            <w:tcBorders/>
            <w:vAlign w:val="center"/>
          </w:tcPr>
          <w:p>
            <w:pPr>
              <w:pStyle w:val="TableContents"/>
              <w:bidi w:val="0"/>
              <w:spacing w:before="1" w:after="1"/>
              <w:ind w:left="0" w:right="0" w:hanging="0"/>
              <w:jc w:val="left"/>
              <w:rPr/>
            </w:pPr>
            <w:r>
              <w:rPr/>
              <w:t>​</w:t>
            </w:r>
          </w:p>
        </w:tc>
        <w:tc>
          <w:tcPr>
            <w:tcW w:w="1381" w:type="dxa"/>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109" w:type="dxa"/>
            <w:tcBorders/>
            <w:vAlign w:val="center"/>
          </w:tcPr>
          <w:p>
            <w:pPr>
              <w:pStyle w:val="TableContents"/>
              <w:bidi w:val="0"/>
              <w:spacing w:before="1" w:after="1"/>
              <w:ind w:left="0" w:right="0" w:hanging="0"/>
              <w:jc w:val="center"/>
              <w:rPr/>
            </w:pPr>
            <w:r>
              <w:rPr/>
              <w:t>​</w:t>
            </w:r>
          </w:p>
        </w:tc>
        <w:tc>
          <w:tcPr>
            <w:tcW w:w="976" w:type="dxa"/>
            <w:gridSpan w:val="2"/>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372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111" w:type="dxa"/>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Options</w:t>
            </w:r>
          </w:p>
        </w:tc>
        <w:tc>
          <w:tcPr>
            <w:tcW w:w="109" w:type="dxa"/>
            <w:tcBorders/>
            <w:vAlign w:val="center"/>
          </w:tcPr>
          <w:p>
            <w:pPr>
              <w:pStyle w:val="TableContents"/>
              <w:bidi w:val="0"/>
              <w:spacing w:before="1" w:after="1"/>
              <w:ind w:left="0" w:right="0" w:hanging="0"/>
              <w:jc w:val="left"/>
              <w:rPr/>
            </w:pPr>
            <w:r>
              <w:rPr/>
              <w:t>​</w:t>
            </w:r>
          </w:p>
        </w:tc>
        <w:tc>
          <w:tcPr>
            <w:tcW w:w="1201" w:type="dxa"/>
            <w:gridSpan w:val="2"/>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109" w:type="dxa"/>
            <w:tcBorders/>
            <w:vAlign w:val="center"/>
          </w:tcPr>
          <w:p>
            <w:pPr>
              <w:pStyle w:val="TableContents"/>
              <w:bidi w:val="0"/>
              <w:spacing w:before="1" w:after="1"/>
              <w:ind w:left="0" w:right="0" w:hanging="0"/>
              <w:jc w:val="left"/>
              <w:rPr/>
            </w:pPr>
            <w:r>
              <w:rPr/>
              <w:t>​</w:t>
            </w:r>
          </w:p>
        </w:tc>
        <w:tc>
          <w:tcPr>
            <w:tcW w:w="1381" w:type="dxa"/>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109" w:type="dxa"/>
            <w:tcBorders/>
            <w:vAlign w:val="center"/>
          </w:tcPr>
          <w:p>
            <w:pPr>
              <w:pStyle w:val="TableContents"/>
              <w:bidi w:val="0"/>
              <w:spacing w:before="1" w:after="1"/>
              <w:ind w:left="0" w:right="0" w:hanging="0"/>
              <w:jc w:val="center"/>
              <w:rPr/>
            </w:pPr>
            <w:r>
              <w:rPr/>
              <w:t>​</w:t>
            </w:r>
          </w:p>
        </w:tc>
        <w:tc>
          <w:tcPr>
            <w:tcW w:w="976" w:type="dxa"/>
            <w:gridSpan w:val="2"/>
            <w:tcBorders/>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3721"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 except options and per share data)</w:t>
            </w:r>
          </w:p>
        </w:tc>
        <w:tc>
          <w:tcPr>
            <w:tcW w:w="346" w:type="dxa"/>
            <w:tcBorders/>
            <w:vAlign w:val="center"/>
          </w:tcPr>
          <w:p>
            <w:pPr>
              <w:pStyle w:val="TableContents"/>
              <w:bidi w:val="0"/>
              <w:spacing w:before="1"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109" w:type="dxa"/>
            <w:tcBorders/>
            <w:vAlign w:val="center"/>
          </w:tcPr>
          <w:p>
            <w:pPr>
              <w:pStyle w:val="TableContents"/>
              <w:bidi w:val="0"/>
              <w:spacing w:before="1" w:after="1"/>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lineRule="auto" w:line="240" w:before="1" w:after="1"/>
              <w:ind w:left="0" w:right="0" w:hanging="0"/>
              <w:jc w:val="center"/>
              <w:rPr>
                <w:rFonts w:ascii="Times New Roman;Times;serif" w:hAnsi="Times New Roman;Times;serif"/>
                <w:sz w:val="16"/>
              </w:rPr>
            </w:pPr>
            <w:r>
              <w:rPr>
                <w:rFonts w:ascii="Arial;Helvetica;sans-serif" w:hAnsi="Arial;Helvetica;sans-serif"/>
                <w:b/>
                <w:sz w:val="16"/>
              </w:rPr>
              <w:t xml:space="preserve">Per Share </w:t>
            </w:r>
            <w:r>
              <w:rPr>
                <w:rFonts w:ascii="Arial;Helvetica;sans-serif" w:hAnsi="Arial;Helvetica;sans-serif"/>
                <w:b/>
                <w:sz w:val="12"/>
              </w:rPr>
              <w:t>(1)</w:t>
            </w:r>
          </w:p>
        </w:tc>
        <w:tc>
          <w:tcPr>
            <w:tcW w:w="109" w:type="dxa"/>
            <w:tcBorders/>
            <w:vAlign w:val="center"/>
          </w:tcPr>
          <w:p>
            <w:pPr>
              <w:pStyle w:val="TableContents"/>
              <w:bidi w:val="0"/>
              <w:spacing w:before="1" w:after="1"/>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6"/>
              </w:rPr>
            </w:pPr>
            <w:r>
              <w:rPr>
                <w:rFonts w:ascii="Arial;Helvetica;sans-serif" w:hAnsi="Arial;Helvetica;sans-serif"/>
                <w:b/>
                <w:sz w:val="16"/>
              </w:rPr>
              <w:t>Contractual Life</w:t>
            </w:r>
          </w:p>
        </w:tc>
        <w:tc>
          <w:tcPr>
            <w:tcW w:w="109" w:type="dxa"/>
            <w:tcBorders/>
            <w:vAlign w:val="center"/>
          </w:tcPr>
          <w:p>
            <w:pPr>
              <w:pStyle w:val="TableContents"/>
              <w:bidi w:val="0"/>
              <w:spacing w:before="1" w:after="1"/>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lineRule="auto" w:line="240" w:before="1" w:after="1"/>
              <w:ind w:left="0" w:right="0" w:hanging="0"/>
              <w:jc w:val="center"/>
              <w:rPr>
                <w:rFonts w:ascii="Times New Roman;Times;serif" w:hAnsi="Times New Roman;Times;serif"/>
                <w:sz w:val="16"/>
              </w:rPr>
            </w:pPr>
            <w:r>
              <w:rPr>
                <w:rFonts w:ascii="Arial;Helvetica;sans-serif" w:hAnsi="Arial;Helvetica;sans-serif"/>
                <w:b/>
                <w:sz w:val="16"/>
              </w:rPr>
              <w:t xml:space="preserve">Value </w:t>
            </w:r>
            <w:r>
              <w:rPr>
                <w:rFonts w:ascii="Arial;Helvetica;sans-serif" w:hAnsi="Arial;Helvetica;sans-serif"/>
                <w:b/>
                <w:sz w:val="12"/>
              </w:rPr>
              <w:t>(2)</w:t>
            </w:r>
          </w:p>
        </w:tc>
      </w:tr>
      <w:tr>
        <w:trPr/>
        <w:tc>
          <w:tcPr>
            <w:tcW w:w="372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Balance at December 31, 2025</w:t>
            </w:r>
          </w:p>
        </w:tc>
        <w:tc>
          <w:tcPr>
            <w:tcW w:w="346" w:type="dxa"/>
            <w:tcBorders/>
            <w:shd w:fill="CCEEFF" w:val="clear"/>
            <w:vAlign w:val="center"/>
          </w:tcPr>
          <w:p>
            <w:pPr>
              <w:pStyle w:val="TableContents"/>
              <w:bidi w:val="0"/>
              <w:spacing w:before="1" w:after="1"/>
              <w:ind w:left="0" w:right="0" w:hanging="0"/>
              <w:jc w:val="left"/>
              <w:rPr/>
            </w:pPr>
            <w:r>
              <w:rPr/>
              <w:t>​</w:t>
            </w:r>
          </w:p>
        </w:tc>
        <w:tc>
          <w:tcPr>
            <w:tcW w:w="111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225,448</w:t>
            </w:r>
          </w:p>
        </w:tc>
        <w:tc>
          <w:tcPr>
            <w:tcW w:w="109" w:type="dxa"/>
            <w:tcBorders/>
            <w:shd w:fill="CCEEFF" w:val="clear"/>
            <w:vAlign w:val="center"/>
          </w:tcPr>
          <w:p>
            <w:pPr>
              <w:pStyle w:val="TableContents"/>
              <w:bidi w:val="0"/>
              <w:spacing w:before="1" w:after="1"/>
              <w:ind w:left="0" w:right="0" w:hanging="0"/>
              <w:jc w:val="left"/>
              <w:rPr/>
            </w:pPr>
            <w:r>
              <w:rPr/>
              <w:t>​</w:t>
            </w:r>
          </w:p>
        </w:tc>
        <w:tc>
          <w:tcPr>
            <w:tcW w:w="317"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84"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43.87</w:t>
            </w:r>
          </w:p>
        </w:tc>
        <w:tc>
          <w:tcPr>
            <w:tcW w:w="109" w:type="dxa"/>
            <w:tcBorders/>
            <w:shd w:fill="CCEEFF" w:val="clear"/>
            <w:vAlign w:val="center"/>
          </w:tcPr>
          <w:p>
            <w:pPr>
              <w:pStyle w:val="TableContents"/>
              <w:bidi w:val="0"/>
              <w:spacing w:before="1" w:after="1"/>
              <w:ind w:left="0" w:right="0" w:hanging="0"/>
              <w:jc w:val="left"/>
              <w:rPr/>
            </w:pPr>
            <w:r>
              <w:rPr/>
              <w:t>​</w:t>
            </w:r>
          </w:p>
        </w:tc>
        <w:tc>
          <w:tcPr>
            <w:tcW w:w="13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Arial;Helvetica;sans-serif" w:hAnsi="Arial;Helvetica;sans-serif"/>
                <w:sz w:val="20"/>
              </w:rPr>
              <w:t>1.8</w:t>
            </w:r>
            <w:r>
              <w:rPr>
                <w:rFonts w:ascii="Times New Roman;Times;serif" w:hAnsi="Times New Roman;Times;serif"/>
                <w:sz w:val="20"/>
              </w:rPr>
              <w:t xml:space="preserve"> </w:t>
            </w:r>
            <w:r>
              <w:rPr>
                <w:rFonts w:ascii="Arial;Helvetica;sans-serif" w:hAnsi="Arial;Helvetica;sans-serif"/>
                <w:sz w:val="20"/>
              </w:rPr>
              <w:t>years</w:t>
            </w:r>
          </w:p>
        </w:tc>
        <w:tc>
          <w:tcPr>
            <w:tcW w:w="109" w:type="dxa"/>
            <w:tcBorders/>
            <w:shd w:fill="CCEEFF" w:val="clear"/>
            <w:vAlign w:val="center"/>
          </w:tcPr>
          <w:p>
            <w:pPr>
              <w:pStyle w:val="TableContents"/>
              <w:bidi w:val="0"/>
              <w:spacing w:before="1" w:after="1"/>
              <w:ind w:left="0" w:right="0" w:hanging="0"/>
              <w:jc w:val="left"/>
              <w:rPr/>
            </w:pPr>
            <w:r>
              <w:rPr/>
              <w:t>​</w:t>
            </w:r>
          </w:p>
        </w:tc>
        <w:tc>
          <w:tcPr>
            <w:tcW w:w="279"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316</w:t>
            </w:r>
          </w:p>
        </w:tc>
      </w:tr>
      <w:tr>
        <w:trPr/>
        <w:tc>
          <w:tcPr>
            <w:tcW w:w="372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Exercised</w:t>
            </w:r>
          </w:p>
        </w:tc>
        <w:tc>
          <w:tcPr>
            <w:tcW w:w="346" w:type="dxa"/>
            <w:tcBorders/>
            <w:vAlign w:val="center"/>
          </w:tcPr>
          <w:p>
            <w:pPr>
              <w:pStyle w:val="TableContents"/>
              <w:bidi w:val="0"/>
              <w:spacing w:before="1" w:after="1"/>
              <w:ind w:left="0" w:right="0" w:hanging="0"/>
              <w:jc w:val="left"/>
              <w:rPr/>
            </w:pPr>
            <w:r>
              <w:rPr/>
              <w:t>​</w:t>
            </w:r>
          </w:p>
        </w:tc>
        <w:tc>
          <w:tcPr>
            <w:tcW w:w="111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(11,884)</w:t>
            </w:r>
          </w:p>
        </w:tc>
        <w:tc>
          <w:tcPr>
            <w:tcW w:w="109" w:type="dxa"/>
            <w:tcBorders/>
            <w:vAlign w:val="center"/>
          </w:tcPr>
          <w:p>
            <w:pPr>
              <w:pStyle w:val="TableContents"/>
              <w:bidi w:val="0"/>
              <w:spacing w:before="1" w:after="1"/>
              <w:ind w:left="0" w:right="0" w:hanging="0"/>
              <w:jc w:val="left"/>
              <w:rPr/>
            </w:pPr>
            <w:r>
              <w:rPr/>
              <w:t>​</w:t>
            </w:r>
          </w:p>
        </w:tc>
        <w:tc>
          <w:tcPr>
            <w:tcW w:w="317" w:type="dxa"/>
            <w:tcBorders/>
            <w:vAlign w:val="center"/>
          </w:tcPr>
          <w:p>
            <w:pPr>
              <w:pStyle w:val="TableContents"/>
              <w:bidi w:val="0"/>
              <w:spacing w:before="1" w:after="1"/>
              <w:ind w:left="0" w:right="0" w:hanging="0"/>
              <w:jc w:val="left"/>
              <w:rPr/>
            </w:pPr>
            <w:r>
              <w:rPr/>
              <w:t>​</w:t>
            </w:r>
          </w:p>
        </w:tc>
        <w:tc>
          <w:tcPr>
            <w:tcW w:w="884"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16.55</w:t>
            </w:r>
          </w:p>
        </w:tc>
        <w:tc>
          <w:tcPr>
            <w:tcW w:w="109" w:type="dxa"/>
            <w:tcBorders/>
            <w:vAlign w:val="center"/>
          </w:tcPr>
          <w:p>
            <w:pPr>
              <w:pStyle w:val="TableContents"/>
              <w:bidi w:val="0"/>
              <w:spacing w:before="1" w:after="1"/>
              <w:ind w:left="0" w:right="0" w:hanging="0"/>
              <w:jc w:val="left"/>
              <w:rPr/>
            </w:pPr>
            <w:r>
              <w:rPr/>
              <w:t>​</w:t>
            </w:r>
          </w:p>
        </w:tc>
        <w:tc>
          <w:tcPr>
            <w:tcW w:w="138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79"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vAlign w:val="center"/>
          </w:tcPr>
          <w:p>
            <w:pPr>
              <w:pStyle w:val="TableContents"/>
              <w:bidi w:val="0"/>
              <w:spacing w:before="1" w:after="1"/>
              <w:ind w:left="0" w:right="0" w:hanging="0"/>
              <w:jc w:val="right"/>
              <w:rPr/>
            </w:pPr>
            <w:r>
              <w:rPr/>
              <w:t>​</w:t>
            </w:r>
          </w:p>
        </w:tc>
      </w:tr>
      <w:tr>
        <w:trPr/>
        <w:tc>
          <w:tcPr>
            <w:tcW w:w="372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Cancelled/Expired</w:t>
            </w:r>
          </w:p>
        </w:tc>
        <w:tc>
          <w:tcPr>
            <w:tcW w:w="346" w:type="dxa"/>
            <w:tcBorders/>
            <w:shd w:fill="CCEEFF" w:val="clear"/>
            <w:vAlign w:val="center"/>
          </w:tcPr>
          <w:p>
            <w:pPr>
              <w:pStyle w:val="TableContents"/>
              <w:bidi w:val="0"/>
              <w:spacing w:before="1" w:after="1"/>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(15,003)</w:t>
            </w:r>
          </w:p>
        </w:tc>
        <w:tc>
          <w:tcPr>
            <w:tcW w:w="109" w:type="dxa"/>
            <w:tcBorders/>
            <w:shd w:fill="CCEEFF" w:val="clear"/>
            <w:vAlign w:val="center"/>
          </w:tcPr>
          <w:p>
            <w:pPr>
              <w:pStyle w:val="TableContents"/>
              <w:bidi w:val="0"/>
              <w:spacing w:before="1" w:after="1"/>
              <w:ind w:left="0" w:right="0" w:hanging="0"/>
              <w:jc w:val="left"/>
              <w:rPr/>
            </w:pPr>
            <w:r>
              <w:rPr/>
              <w:t>​</w:t>
            </w:r>
          </w:p>
        </w:tc>
        <w:tc>
          <w:tcPr>
            <w:tcW w:w="317" w:type="dxa"/>
            <w:tcBorders/>
            <w:shd w:fill="CCEEFF" w:val="clear"/>
            <w:vAlign w:val="center"/>
          </w:tcPr>
          <w:p>
            <w:pPr>
              <w:pStyle w:val="TableContents"/>
              <w:bidi w:val="0"/>
              <w:spacing w:before="1" w:after="1"/>
              <w:ind w:left="0" w:right="0" w:hanging="0"/>
              <w:jc w:val="left"/>
              <w:rPr/>
            </w:pPr>
            <w:r>
              <w:rPr/>
              <w:t>​</w:t>
            </w:r>
          </w:p>
        </w:tc>
        <w:tc>
          <w:tcPr>
            <w:tcW w:w="884"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54.95</w:t>
            </w:r>
          </w:p>
        </w:tc>
        <w:tc>
          <w:tcPr>
            <w:tcW w:w="109" w:type="dxa"/>
            <w:tcBorders/>
            <w:shd w:fill="CCEEFF" w:val="clear"/>
            <w:vAlign w:val="center"/>
          </w:tcPr>
          <w:p>
            <w:pPr>
              <w:pStyle w:val="TableContents"/>
              <w:bidi w:val="0"/>
              <w:spacing w:before="1" w:after="1"/>
              <w:ind w:left="0" w:right="0" w:hanging="0"/>
              <w:jc w:val="left"/>
              <w:rPr/>
            </w:pPr>
            <w:r>
              <w:rPr/>
              <w:t>​</w:t>
            </w:r>
          </w:p>
        </w:tc>
        <w:tc>
          <w:tcPr>
            <w:tcW w:w="138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79" w:type="dxa"/>
            <w:tcBorders/>
            <w:shd w:fill="CCEEFF" w:val="clear"/>
            <w:vAlign w:val="center"/>
          </w:tcPr>
          <w:p>
            <w:pPr>
              <w:pStyle w:val="TableContents"/>
              <w:bidi w:val="0"/>
              <w:spacing w:before="1" w:after="1"/>
              <w:ind w:left="0" w:right="0" w:hanging="0"/>
              <w:jc w:val="left"/>
              <w:rPr/>
            </w:pPr>
            <w:r>
              <w:rPr/>
              <w:t>​</w:t>
            </w:r>
          </w:p>
        </w:tc>
        <w:tc>
          <w:tcPr>
            <w:tcW w:w="697" w:type="dxa"/>
            <w:tcBorders/>
            <w:shd w:fill="CCEEFF" w:val="clear"/>
            <w:vAlign w:val="center"/>
          </w:tcPr>
          <w:p>
            <w:pPr>
              <w:pStyle w:val="TableContents"/>
              <w:bidi w:val="0"/>
              <w:spacing w:before="1" w:after="1"/>
              <w:ind w:left="0" w:right="0" w:hanging="0"/>
              <w:jc w:val="right"/>
              <w:rPr/>
            </w:pPr>
            <w:r>
              <w:rPr/>
              <w:t>​</w:t>
            </w:r>
          </w:p>
        </w:tc>
      </w:tr>
      <w:tr>
        <w:trPr/>
        <w:tc>
          <w:tcPr>
            <w:tcW w:w="372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Balance at June 30, 2026</w:t>
            </w:r>
          </w:p>
        </w:tc>
        <w:tc>
          <w:tcPr>
            <w:tcW w:w="346" w:type="dxa"/>
            <w:tcBorders/>
            <w:vAlign w:val="center"/>
          </w:tcPr>
          <w:p>
            <w:pPr>
              <w:pStyle w:val="TableContents"/>
              <w:bidi w:val="0"/>
              <w:spacing w:before="1" w:after="1"/>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198,561</w:t>
            </w:r>
          </w:p>
        </w:tc>
        <w:tc>
          <w:tcPr>
            <w:tcW w:w="109" w:type="dxa"/>
            <w:tcBorders/>
            <w:vAlign w:val="center"/>
          </w:tcPr>
          <w:p>
            <w:pPr>
              <w:pStyle w:val="TableContents"/>
              <w:bidi w:val="0"/>
              <w:spacing w:before="1" w:after="1"/>
              <w:ind w:left="0" w:right="0" w:hanging="0"/>
              <w:jc w:val="left"/>
              <w:rPr/>
            </w:pPr>
            <w:r>
              <w:rPr/>
              <w:t>​</w:t>
            </w:r>
          </w:p>
        </w:tc>
        <w:tc>
          <w:tcPr>
            <w:tcW w:w="317"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84"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44.67</w:t>
            </w:r>
          </w:p>
        </w:tc>
        <w:tc>
          <w:tcPr>
            <w:tcW w:w="109" w:type="dxa"/>
            <w:tcBorders/>
            <w:vAlign w:val="center"/>
          </w:tcPr>
          <w:p>
            <w:pPr>
              <w:pStyle w:val="TableContents"/>
              <w:bidi w:val="0"/>
              <w:spacing w:before="1" w:after="1"/>
              <w:ind w:left="0" w:right="0" w:hanging="0"/>
              <w:jc w:val="left"/>
              <w:rPr/>
            </w:pPr>
            <w:r>
              <w:rPr/>
              <w:t>​</w:t>
            </w:r>
          </w:p>
        </w:tc>
        <w:tc>
          <w:tcPr>
            <w:tcW w:w="13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Arial;Helvetica;sans-serif" w:hAnsi="Arial;Helvetica;sans-serif"/>
                <w:sz w:val="20"/>
              </w:rPr>
              <w:t>1.4</w:t>
            </w:r>
            <w:r>
              <w:rPr>
                <w:rFonts w:ascii="Times New Roman;Times;serif" w:hAnsi="Times New Roman;Times;serif"/>
                <w:sz w:val="20"/>
              </w:rPr>
              <w:t xml:space="preserve"> </w:t>
            </w:r>
            <w:r>
              <w:rPr>
                <w:rFonts w:ascii="Arial;Helvetica;sans-serif" w:hAnsi="Arial;Helvetica;sans-serif"/>
                <w:sz w:val="20"/>
              </w:rPr>
              <w:t>years</w:t>
            </w:r>
          </w:p>
        </w:tc>
        <w:tc>
          <w:tcPr>
            <w:tcW w:w="109" w:type="dxa"/>
            <w:tcBorders/>
            <w:vAlign w:val="center"/>
          </w:tcPr>
          <w:p>
            <w:pPr>
              <w:pStyle w:val="TableContents"/>
              <w:bidi w:val="0"/>
              <w:spacing w:before="1" w:after="1"/>
              <w:ind w:left="0" w:right="0" w:hanging="0"/>
              <w:jc w:val="left"/>
              <w:rPr/>
            </w:pPr>
            <w:r>
              <w:rPr/>
              <w:t>​</w:t>
            </w:r>
          </w:p>
        </w:tc>
        <w:tc>
          <w:tcPr>
            <w:tcW w:w="279"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191</w:t>
            </w:r>
          </w:p>
        </w:tc>
      </w:tr>
      <w:tr>
        <w:trPr/>
        <w:tc>
          <w:tcPr>
            <w:tcW w:w="372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111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317" w:type="dxa"/>
            <w:tcBorders/>
            <w:shd w:fill="CCEEFF" w:val="clear"/>
            <w:vAlign w:val="center"/>
          </w:tcPr>
          <w:p>
            <w:pPr>
              <w:pStyle w:val="TableContents"/>
              <w:bidi w:val="0"/>
              <w:spacing w:before="1" w:after="1"/>
              <w:ind w:left="0" w:right="0" w:hanging="0"/>
              <w:jc w:val="left"/>
              <w:rPr/>
            </w:pPr>
            <w:r>
              <w:rPr/>
              <w:t>​</w:t>
            </w:r>
          </w:p>
        </w:tc>
        <w:tc>
          <w:tcPr>
            <w:tcW w:w="884"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138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79" w:type="dxa"/>
            <w:tcBorders/>
            <w:shd w:fill="CCEEFF" w:val="clear"/>
            <w:vAlign w:val="center"/>
          </w:tcPr>
          <w:p>
            <w:pPr>
              <w:pStyle w:val="TableContents"/>
              <w:bidi w:val="0"/>
              <w:spacing w:before="1" w:after="1"/>
              <w:ind w:left="0" w:right="0" w:hanging="0"/>
              <w:jc w:val="left"/>
              <w:rPr/>
            </w:pPr>
            <w:r>
              <w:rPr/>
              <w:t>​</w:t>
            </w:r>
          </w:p>
        </w:tc>
        <w:tc>
          <w:tcPr>
            <w:tcW w:w="697" w:type="dxa"/>
            <w:tcBorders/>
            <w:shd w:fill="CCEEFF" w:val="clear"/>
            <w:vAlign w:val="center"/>
          </w:tcPr>
          <w:p>
            <w:pPr>
              <w:pStyle w:val="TableContents"/>
              <w:bidi w:val="0"/>
              <w:spacing w:before="1" w:after="1"/>
              <w:ind w:left="0" w:right="0" w:hanging="0"/>
              <w:jc w:val="right"/>
              <w:rPr/>
            </w:pPr>
            <w:r>
              <w:rPr/>
              <w:t>​</w:t>
            </w:r>
          </w:p>
        </w:tc>
      </w:tr>
      <w:tr>
        <w:trPr/>
        <w:tc>
          <w:tcPr>
            <w:tcW w:w="372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Options exercisable at June 30, 2026</w:t>
            </w:r>
          </w:p>
        </w:tc>
        <w:tc>
          <w:tcPr>
            <w:tcW w:w="346" w:type="dxa"/>
            <w:tcBorders/>
            <w:vAlign w:val="center"/>
          </w:tcPr>
          <w:p>
            <w:pPr>
              <w:pStyle w:val="TableContents"/>
              <w:bidi w:val="0"/>
              <w:spacing w:before="1" w:after="1"/>
              <w:ind w:left="0" w:right="0" w:hanging="0"/>
              <w:jc w:val="left"/>
              <w:rPr/>
            </w:pPr>
            <w:r>
              <w:rPr/>
              <w:t>​</w:t>
            </w:r>
          </w:p>
        </w:tc>
        <w:tc>
          <w:tcPr>
            <w:tcW w:w="111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198,561</w:t>
            </w:r>
          </w:p>
        </w:tc>
        <w:tc>
          <w:tcPr>
            <w:tcW w:w="109" w:type="dxa"/>
            <w:tcBorders/>
            <w:vAlign w:val="center"/>
          </w:tcPr>
          <w:p>
            <w:pPr>
              <w:pStyle w:val="TableContents"/>
              <w:bidi w:val="0"/>
              <w:spacing w:before="1" w:after="1"/>
              <w:ind w:left="0" w:right="0" w:hanging="0"/>
              <w:jc w:val="left"/>
              <w:rPr/>
            </w:pPr>
            <w:r>
              <w:rPr/>
              <w:t>​</w:t>
            </w:r>
          </w:p>
        </w:tc>
        <w:tc>
          <w:tcPr>
            <w:tcW w:w="317"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84"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44.67</w:t>
            </w:r>
          </w:p>
        </w:tc>
        <w:tc>
          <w:tcPr>
            <w:tcW w:w="109" w:type="dxa"/>
            <w:tcBorders/>
            <w:vAlign w:val="center"/>
          </w:tcPr>
          <w:p>
            <w:pPr>
              <w:pStyle w:val="TableContents"/>
              <w:bidi w:val="0"/>
              <w:spacing w:before="1" w:after="1"/>
              <w:ind w:left="0" w:right="0" w:hanging="0"/>
              <w:jc w:val="left"/>
              <w:rPr/>
            </w:pPr>
            <w:r>
              <w:rPr/>
              <w:t>​</w:t>
            </w:r>
          </w:p>
        </w:tc>
        <w:tc>
          <w:tcPr>
            <w:tcW w:w="13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Arial;Helvetica;sans-serif" w:hAnsi="Arial;Helvetica;sans-serif"/>
                <w:sz w:val="20"/>
              </w:rPr>
              <w:t>1.4</w:t>
            </w:r>
            <w:r>
              <w:rPr>
                <w:rFonts w:ascii="Times New Roman;Times;serif" w:hAnsi="Times New Roman;Times;serif"/>
                <w:sz w:val="20"/>
              </w:rPr>
              <w:t xml:space="preserve"> </w:t>
            </w:r>
            <w:r>
              <w:rPr>
                <w:rFonts w:ascii="Arial;Helvetica;sans-serif" w:hAnsi="Arial;Helvetica;sans-serif"/>
                <w:sz w:val="20"/>
              </w:rPr>
              <w:t>years</w:t>
            </w:r>
          </w:p>
        </w:tc>
        <w:tc>
          <w:tcPr>
            <w:tcW w:w="109" w:type="dxa"/>
            <w:tcBorders/>
            <w:vAlign w:val="center"/>
          </w:tcPr>
          <w:p>
            <w:pPr>
              <w:pStyle w:val="TableContents"/>
              <w:bidi w:val="0"/>
              <w:spacing w:before="1" w:after="1"/>
              <w:ind w:left="0" w:right="0" w:hanging="0"/>
              <w:jc w:val="left"/>
              <w:rPr/>
            </w:pPr>
            <w:r>
              <w:rPr/>
              <w:t>​</w:t>
            </w:r>
          </w:p>
        </w:tc>
        <w:tc>
          <w:tcPr>
            <w:tcW w:w="279"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191</w:t>
            </w:r>
          </w:p>
        </w:tc>
      </w:tr>
    </w:tbl>
    <w:p>
      <w:pPr>
        <w:pStyle w:val="TextBody"/>
        <w:pBdr/>
        <w:shd w:fill="FFFFFF" w:val="clear"/>
        <w:bidi w:val="0"/>
        <w:spacing w:before="100" w:after="100"/>
        <w:ind w:left="0" w:right="0" w:hanging="0"/>
        <w:jc w:val="both"/>
        <w:rPr/>
      </w:pPr>
      <w:r>
        <w:rPr/>
        <w:t>​</w:t>
      </w:r>
    </w:p>
    <w:tbl>
      <w:tblPr>
        <w:tblW w:w="10205" w:type="dxa"/>
        <w:jc w:val="left"/>
        <w:tblInd w:w="0" w:type="dxa"/>
        <w:shd w:fill="FFFFFF" w:val="clear"/>
        <w:tblLayout w:type="fixed"/>
        <w:tblCellMar>
          <w:top w:w="0" w:type="dxa"/>
          <w:left w:w="0" w:type="dxa"/>
          <w:bottom w:w="0" w:type="dxa"/>
          <w:right w:w="0" w:type="dxa"/>
        </w:tblCellMar>
      </w:tblPr>
      <w:tblGrid>
        <w:gridCol w:w="327"/>
        <w:gridCol w:w="9878"/>
      </w:tblGrid>
      <w:tr>
        <w:trPr/>
        <w:tc>
          <w:tcPr>
            <w:tcW w:w="327"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878"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exercise price of each option granted during the periods shown was equal to the market price of the underlying stock on the date of grant.</w:t>
            </w:r>
          </w:p>
        </w:tc>
      </w:tr>
    </w:tbl>
    <w:tbl>
      <w:tblPr>
        <w:tblW w:w="10205" w:type="dxa"/>
        <w:jc w:val="left"/>
        <w:tblInd w:w="0" w:type="dxa"/>
        <w:shd w:fill="FFFFFF" w:val="clear"/>
        <w:tblLayout w:type="fixed"/>
        <w:tblCellMar>
          <w:top w:w="0" w:type="dxa"/>
          <w:left w:w="0" w:type="dxa"/>
          <w:bottom w:w="0" w:type="dxa"/>
          <w:right w:w="0" w:type="dxa"/>
        </w:tblCellMar>
      </w:tblPr>
      <w:tblGrid>
        <w:gridCol w:w="290"/>
        <w:gridCol w:w="9915"/>
      </w:tblGrid>
      <w:tr>
        <w:trPr/>
        <w:tc>
          <w:tcPr>
            <w:tcW w:w="29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1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aggregate intrinsic value of options exercised represents the difference between the exercise price of the option and the closing stock price of our common stock on the date of exercise. The aggregate intrinsic value of options outstanding represents the difference between the exercise price of the option and the closing stock price of our common stock on the last trading day of the period.</w:t>
            </w:r>
          </w:p>
        </w:tc>
      </w:tr>
    </w:tbl>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Options exercisable of 272,690</w:t>
      </w:r>
      <w:r>
        <w:rPr>
          <w:rFonts w:ascii="Times New Roman;Times;serif" w:hAnsi="Times New Roman;Times;serif"/>
          <w:sz w:val="20"/>
        </w:rPr>
        <w:t xml:space="preserve"> </w:t>
      </w:r>
      <w:r>
        <w:rPr>
          <w:rFonts w:ascii="Arial;Helvetica;sans-serif" w:hAnsi="Arial;Helvetica;sans-serif"/>
          <w:sz w:val="20"/>
        </w:rPr>
        <w:t>as of June 30, 2025, had a weighted-average exercise price of $41.45</w:t>
      </w:r>
      <w:r>
        <w:rPr>
          <w:rFonts w:ascii="Times New Roman;Times;serif" w:hAnsi="Times New Roman;Times;serif"/>
          <w:sz w:val="20"/>
        </w:rPr>
        <w:t xml:space="preserve"> </w:t>
      </w:r>
      <w:r>
        <w:rPr>
          <w:rFonts w:ascii="Arial;Helvetica;sans-serif" w:hAnsi="Arial;Helvetica;sans-serif"/>
          <w:sz w:val="20"/>
        </w:rPr>
        <w:t>per share.</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Time-Based Restricted Stock Units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 xml:space="preserve">We have granted time-based restricted stock units to certain participants under the 2016 Plan and the 2025 Plan that are stock-settled with common shares. Time-based restricted stock units vest over </w:t>
      </w:r>
      <w:r>
        <w:rPr>
          <w:rFonts w:ascii="Arial;Helvetica;sans-serif" w:hAnsi="Arial;Helvetica;sans-serif"/>
          <w:b w:val="false"/>
          <w:i w:val="false"/>
          <w:caps w:val="false"/>
          <w:smallCaps w:val="false"/>
          <w:sz w:val="20"/>
        </w:rPr>
        <w:t>one</w:t>
      </w:r>
      <w:r>
        <w:rPr>
          <w:rFonts w:ascii="Times New Roman;Times;serif" w:hAnsi="Times New Roman;Times;serif"/>
          <w:sz w:val="20"/>
        </w:rPr>
        <w:t xml:space="preserve"> </w:t>
      </w:r>
      <w:r>
        <w:rPr>
          <w:rFonts w:ascii="Arial;Helvetica;sans-serif" w:hAnsi="Arial;Helvetica;sans-serif"/>
          <w:sz w:val="20"/>
        </w:rPr>
        <w:t>to three years. Stock-based compensation expense included in the Condensed Consolidated Statements of Operations for time-based restricted stock units was $1.6</w:t>
      </w:r>
      <w:r>
        <w:rPr>
          <w:rFonts w:ascii="Times New Roman;Times;serif" w:hAnsi="Times New Roman;Times;serif"/>
          <w:sz w:val="20"/>
        </w:rPr>
        <w:t xml:space="preserve"> </w:t>
      </w:r>
      <w:r>
        <w:rPr>
          <w:rFonts w:ascii="Arial;Helvetica;sans-serif" w:hAnsi="Arial;Helvetica;sans-serif"/>
          <w:sz w:val="20"/>
        </w:rPr>
        <w:t>million and $1.4</w:t>
      </w:r>
      <w:r>
        <w:rPr>
          <w:rFonts w:ascii="Times New Roman;Times;serif" w:hAnsi="Times New Roman;Times;serif"/>
          <w:sz w:val="20"/>
        </w:rPr>
        <w:t xml:space="preserve"> </w:t>
      </w:r>
      <w:r>
        <w:rPr>
          <w:rFonts w:ascii="Arial;Helvetica;sans-serif" w:hAnsi="Arial;Helvetica;sans-serif"/>
          <w:sz w:val="20"/>
        </w:rPr>
        <w:t>million for the three months ended June 30, 2026 and 2025, respectively, and $2.9</w:t>
      </w:r>
      <w:r>
        <w:rPr>
          <w:rFonts w:ascii="Times New Roman;Times;serif" w:hAnsi="Times New Roman;Times;serif"/>
          <w:sz w:val="20"/>
        </w:rPr>
        <w:t xml:space="preserve"> </w:t>
      </w:r>
      <w:r>
        <w:rPr>
          <w:rFonts w:ascii="Arial;Helvetica;sans-serif" w:hAnsi="Arial;Helvetica;sans-serif"/>
          <w:sz w:val="20"/>
        </w:rPr>
        <w:t>million for each of the six months ended June 30, 2026 and 2025. As of June 30, 2026, there was approximately $10.4</w:t>
      </w:r>
      <w:r>
        <w:rPr>
          <w:rFonts w:ascii="Times New Roman;Times;serif" w:hAnsi="Times New Roman;Times;serif"/>
          <w:sz w:val="20"/>
        </w:rPr>
        <w:t xml:space="preserve"> </w:t>
      </w:r>
      <w:r>
        <w:rPr>
          <w:rFonts w:ascii="Arial;Helvetica;sans-serif" w:hAnsi="Arial;Helvetica;sans-serif"/>
          <w:sz w:val="20"/>
        </w:rPr>
        <w:t>million of total unrecognized pre-tax compensation expense related to outstanding time-based restricted stock units that is expected to be recognized over a weighted-average period of 2.0</w:t>
      </w:r>
      <w:r>
        <w:rPr>
          <w:rFonts w:ascii="Times New Roman;Times;serif" w:hAnsi="Times New Roman;Times;serif"/>
          <w:sz w:val="20"/>
        </w:rPr>
        <w:t xml:space="preserve"> </w:t>
      </w:r>
      <w:r>
        <w:rPr>
          <w:rFonts w:ascii="Arial;Helvetica;sans-serif" w:hAnsi="Arial;Helvetica;sans-serif"/>
          <w:sz w:val="20"/>
        </w:rPr>
        <w:t>years.</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time-based restricted stock unit activity for the six months ended June 30, 2026, was as follows:</w:t>
      </w:r>
    </w:p>
    <w:p>
      <w:pPr>
        <w:pStyle w:val="TextBody"/>
        <w:bidi w:val="0"/>
        <w:spacing w:before="0" w:after="0"/>
        <w:ind w:left="0" w:right="0" w:hanging="0"/>
        <w:jc w:val="left"/>
        <w:rPr/>
      </w:pPr>
      <w:r>
        <w:rPr/>
        <w:t>​</w:t>
      </w:r>
    </w:p>
    <w:tbl>
      <w:tblPr>
        <w:tblW w:w="8181" w:type="dxa"/>
        <w:jc w:val="left"/>
        <w:tblInd w:w="0" w:type="dxa"/>
        <w:tblLayout w:type="fixed"/>
        <w:tblCellMar>
          <w:top w:w="0" w:type="dxa"/>
          <w:left w:w="0" w:type="dxa"/>
          <w:bottom w:w="0" w:type="dxa"/>
          <w:right w:w="0" w:type="dxa"/>
        </w:tblCellMar>
      </w:tblPr>
      <w:tblGrid>
        <w:gridCol w:w="3286"/>
        <w:gridCol w:w="346"/>
        <w:gridCol w:w="1246"/>
        <w:gridCol w:w="346"/>
        <w:gridCol w:w="400"/>
        <w:gridCol w:w="1115"/>
        <w:gridCol w:w="346"/>
        <w:gridCol w:w="229"/>
        <w:gridCol w:w="867"/>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86610" cy="175895"/>
                      <wp:effectExtent l="0" t="0" r="0" b="0"/>
                      <wp:wrapNone/>
                      <wp:docPr id="143" name="Frame143"/>
                      <a:graphic xmlns:a="http://schemas.openxmlformats.org/drawingml/2006/main">
                        <a:graphicData uri="http://schemas.microsoft.com/office/word/2010/wordprocessingShape">
                          <wps:wsp>
                            <wps:cNvSpPr txBox="1"/>
                            <wps:spPr>
                              <a:xfrm>
                                <a:off x="0" y="0"/>
                                <a:ext cx="2086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895"/>
                      <wp:effectExtent l="0" t="0" r="0" b="0"/>
                      <wp:wrapNone/>
                      <wp:docPr id="144" name="Frame14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91210" cy="175895"/>
                      <wp:effectExtent l="0" t="0" r="0" b="0"/>
                      <wp:wrapNone/>
                      <wp:docPr id="145" name="Frame145"/>
                      <a:graphic xmlns:a="http://schemas.openxmlformats.org/drawingml/2006/main">
                        <a:graphicData uri="http://schemas.microsoft.com/office/word/2010/wordprocessingShape">
                          <wps:wsp>
                            <wps:cNvSpPr txBox="1"/>
                            <wps:spPr>
                              <a:xfrm>
                                <a:off x="0" y="0"/>
                                <a:ext cx="7912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895"/>
                      <wp:effectExtent l="0" t="0" r="0" b="0"/>
                      <wp:wrapNone/>
                      <wp:docPr id="146" name="Frame14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54000" cy="175895"/>
                      <wp:effectExtent l="0" t="0" r="0" b="0"/>
                      <wp:wrapNone/>
                      <wp:docPr id="147" name="Frame147"/>
                      <a:graphic xmlns:a="http://schemas.openxmlformats.org/drawingml/2006/main">
                        <a:graphicData uri="http://schemas.microsoft.com/office/word/2010/wordprocessingShape">
                          <wps:wsp>
                            <wps:cNvSpPr txBox="1"/>
                            <wps:spPr>
                              <a:xfrm>
                                <a:off x="0" y="0"/>
                                <a:ext cx="2540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08025" cy="175895"/>
                      <wp:effectExtent l="0" t="0" r="0" b="0"/>
                      <wp:wrapNone/>
                      <wp:docPr id="148" name="Frame148"/>
                      <a:graphic xmlns:a="http://schemas.openxmlformats.org/drawingml/2006/main">
                        <a:graphicData uri="http://schemas.microsoft.com/office/word/2010/wordprocessingShape">
                          <wps:wsp>
                            <wps:cNvSpPr txBox="1"/>
                            <wps:spPr>
                              <a:xfrm>
                                <a:off x="0" y="0"/>
                                <a:ext cx="7080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895"/>
                      <wp:effectExtent l="0" t="0" r="0" b="0"/>
                      <wp:wrapNone/>
                      <wp:docPr id="149" name="Frame14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5415" cy="175895"/>
                      <wp:effectExtent l="0" t="0" r="0" b="0"/>
                      <wp:wrapNone/>
                      <wp:docPr id="150" name="Frame150"/>
                      <a:graphic xmlns:a="http://schemas.openxmlformats.org/drawingml/2006/main">
                        <a:graphicData uri="http://schemas.microsoft.com/office/word/2010/wordprocessingShape">
                          <wps:wsp>
                            <wps:cNvSpPr txBox="1"/>
                            <wps:spPr>
                              <a:xfrm>
                                <a:off x="0" y="0"/>
                                <a:ext cx="1454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50545" cy="175895"/>
                      <wp:effectExtent l="0" t="0" r="0" b="0"/>
                      <wp:wrapNone/>
                      <wp:docPr id="151" name="Frame151"/>
                      <a:graphic xmlns:a="http://schemas.openxmlformats.org/drawingml/2006/main">
                        <a:graphicData uri="http://schemas.microsoft.com/office/word/2010/wordprocessingShape">
                          <wps:wsp>
                            <wps:cNvSpPr txBox="1"/>
                            <wps:spPr>
                              <a:xfrm>
                                <a:off x="0" y="0"/>
                                <a:ext cx="5505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24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515"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Weighted-</w:t>
            </w:r>
          </w:p>
        </w:tc>
        <w:tc>
          <w:tcPr>
            <w:tcW w:w="346" w:type="dxa"/>
            <w:tcBorders/>
            <w:vAlign w:val="center"/>
          </w:tcPr>
          <w:p>
            <w:pPr>
              <w:pStyle w:val="TableContents"/>
              <w:bidi w:val="0"/>
              <w:spacing w:before="1" w:after="1"/>
              <w:ind w:left="0" w:right="0" w:hanging="0"/>
              <w:jc w:val="left"/>
              <w:rPr/>
            </w:pPr>
            <w:r>
              <w:rPr/>
              <w:t>​</w:t>
            </w:r>
          </w:p>
        </w:tc>
        <w:tc>
          <w:tcPr>
            <w:tcW w:w="229" w:type="dxa"/>
            <w:tcBorders/>
            <w:vAlign w:val="center"/>
          </w:tcPr>
          <w:p>
            <w:pPr>
              <w:pStyle w:val="TableContents"/>
              <w:bidi w:val="0"/>
              <w:spacing w:before="1" w:after="1"/>
              <w:ind w:left="0" w:right="0" w:hanging="0"/>
              <w:jc w:val="left"/>
              <w:rPr/>
            </w:pPr>
            <w:r>
              <w:rPr/>
              <w:t>​</w:t>
            </w:r>
          </w:p>
        </w:tc>
        <w:tc>
          <w:tcPr>
            <w:tcW w:w="867" w:type="dxa"/>
            <w:tcBorders/>
            <w:vAlign w:val="center"/>
          </w:tcPr>
          <w:p>
            <w:pPr>
              <w:pStyle w:val="TableContents"/>
              <w:bidi w:val="0"/>
              <w:spacing w:before="1" w:after="1"/>
              <w:ind w:left="0" w:right="0" w:hanging="0"/>
              <w:jc w:val="left"/>
              <w:rPr/>
            </w:pPr>
            <w:r>
              <w:rPr/>
              <w:t>​</w:t>
            </w:r>
          </w:p>
        </w:tc>
      </w:tr>
      <w:tr>
        <w:trPr/>
        <w:tc>
          <w:tcPr>
            <w:tcW w:w="328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1246"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  ​ ​ ​</w:t>
            </w:r>
          </w:p>
        </w:tc>
        <w:tc>
          <w:tcPr>
            <w:tcW w:w="1515"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Average Grant</w:t>
            </w:r>
          </w:p>
        </w:tc>
        <w:tc>
          <w:tcPr>
            <w:tcW w:w="346" w:type="dxa"/>
            <w:tcBorders/>
            <w:vAlign w:val="center"/>
          </w:tcPr>
          <w:p>
            <w:pPr>
              <w:pStyle w:val="TableContents"/>
              <w:bidi w:val="0"/>
              <w:spacing w:before="1" w:after="1"/>
              <w:ind w:left="0" w:right="0" w:hanging="0"/>
              <w:jc w:val="left"/>
              <w:rPr/>
            </w:pPr>
            <w:r>
              <w:rPr/>
              <w:t>  ​ ​ ​</w:t>
            </w:r>
          </w:p>
        </w:tc>
        <w:tc>
          <w:tcPr>
            <w:tcW w:w="1096"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Aggregate</w:t>
            </w:r>
          </w:p>
        </w:tc>
      </w:tr>
      <w:tr>
        <w:trPr/>
        <w:tc>
          <w:tcPr>
            <w:tcW w:w="328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246" w:type="dxa"/>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Units</w:t>
            </w:r>
          </w:p>
        </w:tc>
        <w:tc>
          <w:tcPr>
            <w:tcW w:w="346" w:type="dxa"/>
            <w:tcBorders/>
            <w:vAlign w:val="center"/>
          </w:tcPr>
          <w:p>
            <w:pPr>
              <w:pStyle w:val="TableContents"/>
              <w:bidi w:val="0"/>
              <w:spacing w:before="1" w:after="1"/>
              <w:ind w:left="0" w:right="0" w:hanging="0"/>
              <w:jc w:val="left"/>
              <w:rPr/>
            </w:pPr>
            <w:r>
              <w:rPr/>
              <w:t>​</w:t>
            </w:r>
          </w:p>
        </w:tc>
        <w:tc>
          <w:tcPr>
            <w:tcW w:w="1515"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Date Fair Value</w:t>
            </w:r>
          </w:p>
        </w:tc>
        <w:tc>
          <w:tcPr>
            <w:tcW w:w="346" w:type="dxa"/>
            <w:tcBorders/>
            <w:vAlign w:val="center"/>
          </w:tcPr>
          <w:p>
            <w:pPr>
              <w:pStyle w:val="TableContents"/>
              <w:bidi w:val="0"/>
              <w:spacing w:before="1" w:after="1"/>
              <w:ind w:left="0" w:right="0" w:hanging="0"/>
              <w:jc w:val="left"/>
              <w:rPr/>
            </w:pPr>
            <w:r>
              <w:rPr/>
              <w:t>​</w:t>
            </w:r>
          </w:p>
        </w:tc>
        <w:tc>
          <w:tcPr>
            <w:tcW w:w="1096"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Intrinsic</w:t>
            </w:r>
          </w:p>
        </w:tc>
      </w:tr>
      <w:tr>
        <w:trPr/>
        <w:tc>
          <w:tcPr>
            <w:tcW w:w="328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 except unit and per unit data)</w:t>
            </w:r>
          </w:p>
        </w:tc>
        <w:tc>
          <w:tcPr>
            <w:tcW w:w="346" w:type="dxa"/>
            <w:tcBorders/>
            <w:vAlign w:val="center"/>
          </w:tcPr>
          <w:p>
            <w:pPr>
              <w:pStyle w:val="TableContents"/>
              <w:bidi w:val="0"/>
              <w:spacing w:before="1"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Outstanding</w:t>
            </w:r>
          </w:p>
        </w:tc>
        <w:tc>
          <w:tcPr>
            <w:tcW w:w="346" w:type="dxa"/>
            <w:tcBorders/>
            <w:vAlign w:val="center"/>
          </w:tcPr>
          <w:p>
            <w:pPr>
              <w:pStyle w:val="TableContents"/>
              <w:bidi w:val="0"/>
              <w:spacing w:before="1" w:after="1"/>
              <w:ind w:left="0" w:right="0" w:hanging="0"/>
              <w:jc w:val="left"/>
              <w:rPr/>
            </w:pPr>
            <w:r>
              <w:rPr/>
              <w:t>​</w:t>
            </w:r>
          </w:p>
        </w:tc>
        <w:tc>
          <w:tcPr>
            <w:tcW w:w="151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Per Unit</w:t>
            </w:r>
          </w:p>
        </w:tc>
        <w:tc>
          <w:tcPr>
            <w:tcW w:w="346" w:type="dxa"/>
            <w:tcBorders/>
            <w:vAlign w:val="center"/>
          </w:tcPr>
          <w:p>
            <w:pPr>
              <w:pStyle w:val="TableContents"/>
              <w:bidi w:val="0"/>
              <w:spacing w:before="1"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40" w:before="1" w:after="1"/>
              <w:ind w:left="0" w:right="0" w:hanging="0"/>
              <w:jc w:val="center"/>
              <w:rPr>
                <w:rFonts w:ascii="Times New Roman;Times;serif" w:hAnsi="Times New Roman;Times;serif"/>
                <w:sz w:val="16"/>
              </w:rPr>
            </w:pPr>
            <w:r>
              <w:rPr>
                <w:rFonts w:ascii="Arial;Helvetica;sans-serif" w:hAnsi="Arial;Helvetica;sans-serif"/>
                <w:b/>
                <w:sz w:val="20"/>
              </w:rPr>
              <w:t xml:space="preserve">Value </w:t>
            </w:r>
            <w:r>
              <w:rPr>
                <w:rFonts w:ascii="Arial;Helvetica;sans-serif" w:hAnsi="Arial;Helvetica;sans-serif"/>
                <w:b/>
                <w:sz w:val="12"/>
              </w:rPr>
              <w:t>(1)</w:t>
            </w:r>
          </w:p>
        </w:tc>
      </w:tr>
      <w:tr>
        <w:trPr/>
        <w:tc>
          <w:tcPr>
            <w:tcW w:w="32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Balance at December 31, 2025</w:t>
            </w:r>
          </w:p>
        </w:tc>
        <w:tc>
          <w:tcPr>
            <w:tcW w:w="346" w:type="dxa"/>
            <w:tcBorders/>
            <w:shd w:fill="CCEEFF" w:val="clear"/>
            <w:vAlign w:val="center"/>
          </w:tcPr>
          <w:p>
            <w:pPr>
              <w:pStyle w:val="TableContents"/>
              <w:bidi w:val="0"/>
              <w:spacing w:before="1" w:after="1"/>
              <w:ind w:left="0" w:right="0" w:hanging="0"/>
              <w:jc w:val="left"/>
              <w:rPr/>
            </w:pPr>
            <w:r>
              <w:rPr/>
              <w:t>​</w:t>
            </w:r>
          </w:p>
        </w:tc>
        <w:tc>
          <w:tcPr>
            <w:tcW w:w="124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718,621</w:t>
            </w:r>
          </w:p>
        </w:tc>
        <w:tc>
          <w:tcPr>
            <w:tcW w:w="346" w:type="dxa"/>
            <w:tcBorders/>
            <w:shd w:fill="CCEEFF" w:val="clear"/>
            <w:vAlign w:val="center"/>
          </w:tcPr>
          <w:p>
            <w:pPr>
              <w:pStyle w:val="TableContents"/>
              <w:bidi w:val="0"/>
              <w:spacing w:before="1" w:after="1"/>
              <w:ind w:left="0" w:right="0" w:hanging="0"/>
              <w:jc w:val="left"/>
              <w:rPr/>
            </w:pPr>
            <w:r>
              <w:rPr/>
              <w:t>​</w:t>
            </w:r>
          </w:p>
        </w:tc>
        <w:tc>
          <w:tcPr>
            <w:tcW w:w="400"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115"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13.92</w:t>
            </w:r>
          </w:p>
        </w:tc>
        <w:tc>
          <w:tcPr>
            <w:tcW w:w="346" w:type="dxa"/>
            <w:tcBorders/>
            <w:shd w:fill="CCEEFF" w:val="clear"/>
            <w:vAlign w:val="center"/>
          </w:tcPr>
          <w:p>
            <w:pPr>
              <w:pStyle w:val="TableContents"/>
              <w:bidi w:val="0"/>
              <w:spacing w:before="1" w:after="1"/>
              <w:ind w:left="0" w:right="0" w:hanging="0"/>
              <w:jc w:val="left"/>
              <w:rPr/>
            </w:pPr>
            <w:r>
              <w:rPr/>
              <w:t>​</w:t>
            </w:r>
          </w:p>
        </w:tc>
        <w:tc>
          <w:tcPr>
            <w:tcW w:w="229"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6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20,840</w:t>
            </w:r>
          </w:p>
        </w:tc>
      </w:tr>
      <w:tr>
        <w:trPr/>
        <w:tc>
          <w:tcPr>
            <w:tcW w:w="328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vAlign w:val="center"/>
          </w:tcPr>
          <w:p>
            <w:pPr>
              <w:pStyle w:val="TableContents"/>
              <w:bidi w:val="0"/>
              <w:spacing w:before="1" w:after="1"/>
              <w:ind w:left="0" w:right="0" w:hanging="0"/>
              <w:jc w:val="left"/>
              <w:rPr/>
            </w:pPr>
            <w:r>
              <w:rPr/>
              <w:t>​</w:t>
            </w:r>
          </w:p>
        </w:tc>
        <w:tc>
          <w:tcPr>
            <w:tcW w:w="124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284,660</w:t>
            </w:r>
          </w:p>
        </w:tc>
        <w:tc>
          <w:tcPr>
            <w:tcW w:w="346" w:type="dxa"/>
            <w:tcBorders/>
            <w:vAlign w:val="center"/>
          </w:tcPr>
          <w:p>
            <w:pPr>
              <w:pStyle w:val="TableContents"/>
              <w:bidi w:val="0"/>
              <w:spacing w:before="1" w:after="1"/>
              <w:ind w:left="0" w:right="0" w:hanging="0"/>
              <w:jc w:val="left"/>
              <w:rPr/>
            </w:pPr>
            <w:r>
              <w:rPr/>
              <w:t>​</w:t>
            </w:r>
          </w:p>
        </w:tc>
        <w:tc>
          <w:tcPr>
            <w:tcW w:w="400" w:type="dxa"/>
            <w:tcBorders/>
            <w:vAlign w:val="center"/>
          </w:tcPr>
          <w:p>
            <w:pPr>
              <w:pStyle w:val="TableContents"/>
              <w:bidi w:val="0"/>
              <w:spacing w:before="1" w:after="1"/>
              <w:ind w:left="0" w:right="0" w:hanging="0"/>
              <w:jc w:val="left"/>
              <w:rPr/>
            </w:pPr>
            <w:r>
              <w:rPr/>
              <w:t>​</w:t>
            </w:r>
          </w:p>
        </w:tc>
        <w:tc>
          <w:tcPr>
            <w:tcW w:w="1115"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27.50</w:t>
            </w:r>
          </w:p>
        </w:tc>
        <w:tc>
          <w:tcPr>
            <w:tcW w:w="346" w:type="dxa"/>
            <w:tcBorders/>
            <w:vAlign w:val="center"/>
          </w:tcPr>
          <w:p>
            <w:pPr>
              <w:pStyle w:val="TableContents"/>
              <w:bidi w:val="0"/>
              <w:spacing w:before="1" w:after="1"/>
              <w:ind w:left="0" w:right="0" w:hanging="0"/>
              <w:jc w:val="left"/>
              <w:rPr/>
            </w:pPr>
            <w:r>
              <w:rPr/>
              <w:t>​</w:t>
            </w:r>
          </w:p>
        </w:tc>
        <w:tc>
          <w:tcPr>
            <w:tcW w:w="229" w:type="dxa"/>
            <w:tcBorders/>
            <w:vAlign w:val="center"/>
          </w:tcPr>
          <w:p>
            <w:pPr>
              <w:pStyle w:val="TableContents"/>
              <w:bidi w:val="0"/>
              <w:spacing w:before="1" w:after="1"/>
              <w:ind w:left="0" w:right="0" w:hanging="0"/>
              <w:jc w:val="left"/>
              <w:rPr/>
            </w:pPr>
            <w:r>
              <w:rPr/>
              <w:t>​</w:t>
            </w:r>
          </w:p>
        </w:tc>
        <w:tc>
          <w:tcPr>
            <w:tcW w:w="867" w:type="dxa"/>
            <w:tcBorders/>
            <w:vAlign w:val="center"/>
          </w:tcPr>
          <w:p>
            <w:pPr>
              <w:pStyle w:val="TableContents"/>
              <w:bidi w:val="0"/>
              <w:spacing w:before="1" w:after="1"/>
              <w:ind w:left="0" w:right="0" w:hanging="0"/>
              <w:jc w:val="right"/>
              <w:rPr/>
            </w:pPr>
            <w:r>
              <w:rPr/>
              <w:t>​</w:t>
            </w:r>
          </w:p>
        </w:tc>
      </w:tr>
      <w:tr>
        <w:trPr/>
        <w:tc>
          <w:tcPr>
            <w:tcW w:w="32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Vested</w:t>
            </w:r>
          </w:p>
        </w:tc>
        <w:tc>
          <w:tcPr>
            <w:tcW w:w="346" w:type="dxa"/>
            <w:tcBorders/>
            <w:shd w:fill="CCEEFF" w:val="clear"/>
            <w:vAlign w:val="center"/>
          </w:tcPr>
          <w:p>
            <w:pPr>
              <w:pStyle w:val="TableContents"/>
              <w:bidi w:val="0"/>
              <w:spacing w:before="1" w:after="1"/>
              <w:ind w:left="0" w:right="0" w:hanging="0"/>
              <w:jc w:val="left"/>
              <w:rPr/>
            </w:pPr>
            <w:r>
              <w:rPr/>
              <w:t>​</w:t>
            </w:r>
          </w:p>
        </w:tc>
        <w:tc>
          <w:tcPr>
            <w:tcW w:w="124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(350,810)</w:t>
            </w:r>
          </w:p>
        </w:tc>
        <w:tc>
          <w:tcPr>
            <w:tcW w:w="346" w:type="dxa"/>
            <w:tcBorders/>
            <w:shd w:fill="CCEEFF" w:val="clear"/>
            <w:vAlign w:val="center"/>
          </w:tcPr>
          <w:p>
            <w:pPr>
              <w:pStyle w:val="TableContents"/>
              <w:bidi w:val="0"/>
              <w:spacing w:before="1" w:after="1"/>
              <w:ind w:left="0" w:right="0" w:hanging="0"/>
              <w:jc w:val="left"/>
              <w:rPr/>
            </w:pPr>
            <w:r>
              <w:rPr/>
              <w:t>​</w:t>
            </w:r>
          </w:p>
        </w:tc>
        <w:tc>
          <w:tcPr>
            <w:tcW w:w="400" w:type="dxa"/>
            <w:tcBorders/>
            <w:shd w:fill="CCEEFF" w:val="clear"/>
            <w:vAlign w:val="center"/>
          </w:tcPr>
          <w:p>
            <w:pPr>
              <w:pStyle w:val="TableContents"/>
              <w:bidi w:val="0"/>
              <w:spacing w:before="1" w:after="1"/>
              <w:ind w:left="0" w:right="0" w:hanging="0"/>
              <w:jc w:val="left"/>
              <w:rPr/>
            </w:pPr>
            <w:r>
              <w:rPr/>
              <w:t>​</w:t>
            </w:r>
          </w:p>
        </w:tc>
        <w:tc>
          <w:tcPr>
            <w:tcW w:w="1115"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13.25</w:t>
            </w:r>
          </w:p>
        </w:tc>
        <w:tc>
          <w:tcPr>
            <w:tcW w:w="346" w:type="dxa"/>
            <w:tcBorders/>
            <w:shd w:fill="CCEEFF" w:val="clear"/>
            <w:vAlign w:val="center"/>
          </w:tcPr>
          <w:p>
            <w:pPr>
              <w:pStyle w:val="TableContents"/>
              <w:bidi w:val="0"/>
              <w:spacing w:before="1" w:after="1"/>
              <w:ind w:left="0" w:right="0" w:hanging="0"/>
              <w:jc w:val="left"/>
              <w:rPr/>
            </w:pPr>
            <w:r>
              <w:rPr/>
              <w:t>​</w:t>
            </w:r>
          </w:p>
        </w:tc>
        <w:tc>
          <w:tcPr>
            <w:tcW w:w="229" w:type="dxa"/>
            <w:tcBorders/>
            <w:shd w:fill="CCEEFF" w:val="clear"/>
            <w:vAlign w:val="center"/>
          </w:tcPr>
          <w:p>
            <w:pPr>
              <w:pStyle w:val="TableContents"/>
              <w:bidi w:val="0"/>
              <w:spacing w:before="1" w:after="1"/>
              <w:ind w:left="0" w:right="0" w:hanging="0"/>
              <w:jc w:val="left"/>
              <w:rPr/>
            </w:pPr>
            <w:r>
              <w:rPr/>
              <w:t>​</w:t>
            </w:r>
          </w:p>
        </w:tc>
        <w:tc>
          <w:tcPr>
            <w:tcW w:w="867" w:type="dxa"/>
            <w:tcBorders/>
            <w:shd w:fill="CCEEFF" w:val="clear"/>
            <w:vAlign w:val="center"/>
          </w:tcPr>
          <w:p>
            <w:pPr>
              <w:pStyle w:val="TableContents"/>
              <w:bidi w:val="0"/>
              <w:spacing w:before="1" w:after="1"/>
              <w:ind w:left="0" w:right="0" w:hanging="0"/>
              <w:jc w:val="right"/>
              <w:rPr/>
            </w:pPr>
            <w:r>
              <w:rPr/>
              <w:t>​</w:t>
            </w:r>
          </w:p>
        </w:tc>
      </w:tr>
      <w:tr>
        <w:trPr/>
        <w:tc>
          <w:tcPr>
            <w:tcW w:w="328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Cancelled</w:t>
            </w:r>
          </w:p>
        </w:tc>
        <w:tc>
          <w:tcPr>
            <w:tcW w:w="346" w:type="dxa"/>
            <w:tcBorders/>
            <w:vAlign w:val="center"/>
          </w:tcPr>
          <w:p>
            <w:pPr>
              <w:pStyle w:val="TableContents"/>
              <w:bidi w:val="0"/>
              <w:spacing w:before="1"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(36,581)</w:t>
            </w:r>
          </w:p>
        </w:tc>
        <w:tc>
          <w:tcPr>
            <w:tcW w:w="346" w:type="dxa"/>
            <w:tcBorders/>
            <w:vAlign w:val="center"/>
          </w:tcPr>
          <w:p>
            <w:pPr>
              <w:pStyle w:val="TableContents"/>
              <w:bidi w:val="0"/>
              <w:spacing w:before="1" w:after="1"/>
              <w:ind w:left="0" w:right="0" w:hanging="0"/>
              <w:jc w:val="left"/>
              <w:rPr/>
            </w:pPr>
            <w:r>
              <w:rPr/>
              <w:t>​</w:t>
            </w:r>
          </w:p>
        </w:tc>
        <w:tc>
          <w:tcPr>
            <w:tcW w:w="400" w:type="dxa"/>
            <w:tcBorders/>
            <w:vAlign w:val="center"/>
          </w:tcPr>
          <w:p>
            <w:pPr>
              <w:pStyle w:val="TableContents"/>
              <w:bidi w:val="0"/>
              <w:spacing w:before="1" w:after="1"/>
              <w:ind w:left="0" w:right="0" w:hanging="0"/>
              <w:jc w:val="left"/>
              <w:rPr/>
            </w:pPr>
            <w:r>
              <w:rPr/>
              <w:t>​</w:t>
            </w:r>
          </w:p>
        </w:tc>
        <w:tc>
          <w:tcPr>
            <w:tcW w:w="1115"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16.37</w:t>
            </w:r>
          </w:p>
        </w:tc>
        <w:tc>
          <w:tcPr>
            <w:tcW w:w="346" w:type="dxa"/>
            <w:tcBorders/>
            <w:vAlign w:val="center"/>
          </w:tcPr>
          <w:p>
            <w:pPr>
              <w:pStyle w:val="TableContents"/>
              <w:bidi w:val="0"/>
              <w:spacing w:before="1" w:after="1"/>
              <w:ind w:left="0" w:right="0" w:hanging="0"/>
              <w:jc w:val="left"/>
              <w:rPr/>
            </w:pPr>
            <w:r>
              <w:rPr/>
              <w:t>​</w:t>
            </w:r>
          </w:p>
        </w:tc>
        <w:tc>
          <w:tcPr>
            <w:tcW w:w="229" w:type="dxa"/>
            <w:tcBorders/>
            <w:vAlign w:val="center"/>
          </w:tcPr>
          <w:p>
            <w:pPr>
              <w:pStyle w:val="TableContents"/>
              <w:bidi w:val="0"/>
              <w:spacing w:before="1" w:after="1"/>
              <w:ind w:left="0" w:right="0" w:hanging="0"/>
              <w:jc w:val="left"/>
              <w:rPr/>
            </w:pPr>
            <w:r>
              <w:rPr/>
              <w:t>​</w:t>
            </w:r>
          </w:p>
        </w:tc>
        <w:tc>
          <w:tcPr>
            <w:tcW w:w="867" w:type="dxa"/>
            <w:tcBorders/>
            <w:vAlign w:val="center"/>
          </w:tcPr>
          <w:p>
            <w:pPr>
              <w:pStyle w:val="TableContents"/>
              <w:bidi w:val="0"/>
              <w:spacing w:before="1" w:after="1"/>
              <w:ind w:left="0" w:right="0" w:hanging="0"/>
              <w:jc w:val="right"/>
              <w:rPr/>
            </w:pPr>
            <w:r>
              <w:rPr/>
              <w:t>​</w:t>
            </w:r>
          </w:p>
        </w:tc>
      </w:tr>
      <w:tr>
        <w:trPr/>
        <w:tc>
          <w:tcPr>
            <w:tcW w:w="32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Balance at June 30, 2026</w:t>
            </w:r>
          </w:p>
        </w:tc>
        <w:tc>
          <w:tcPr>
            <w:tcW w:w="346" w:type="dxa"/>
            <w:tcBorders/>
            <w:shd w:fill="CCEEFF" w:val="clear"/>
            <w:vAlign w:val="center"/>
          </w:tcPr>
          <w:p>
            <w:pPr>
              <w:pStyle w:val="TableContents"/>
              <w:bidi w:val="0"/>
              <w:spacing w:before="1" w:after="1"/>
              <w:ind w:left="0" w:right="0" w:hanging="0"/>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615,890</w:t>
            </w:r>
          </w:p>
        </w:tc>
        <w:tc>
          <w:tcPr>
            <w:tcW w:w="346" w:type="dxa"/>
            <w:tcBorders/>
            <w:shd w:fill="CCEEFF" w:val="clear"/>
            <w:vAlign w:val="center"/>
          </w:tcPr>
          <w:p>
            <w:pPr>
              <w:pStyle w:val="TableContents"/>
              <w:bidi w:val="0"/>
              <w:spacing w:before="1" w:after="1"/>
              <w:ind w:left="0" w:right="0" w:hanging="0"/>
              <w:jc w:val="left"/>
              <w:rPr/>
            </w:pPr>
            <w:r>
              <w:rPr/>
              <w:t>​</w:t>
            </w:r>
          </w:p>
        </w:tc>
        <w:tc>
          <w:tcPr>
            <w:tcW w:w="400"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115"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20.44</w:t>
            </w:r>
          </w:p>
        </w:tc>
        <w:tc>
          <w:tcPr>
            <w:tcW w:w="346" w:type="dxa"/>
            <w:tcBorders/>
            <w:shd w:fill="CCEEFF" w:val="clear"/>
            <w:vAlign w:val="center"/>
          </w:tcPr>
          <w:p>
            <w:pPr>
              <w:pStyle w:val="TableContents"/>
              <w:bidi w:val="0"/>
              <w:spacing w:before="1" w:after="1"/>
              <w:ind w:left="0" w:right="0" w:hanging="0"/>
              <w:jc w:val="left"/>
              <w:rPr/>
            </w:pPr>
            <w:r>
              <w:rPr/>
              <w:t>​</w:t>
            </w:r>
          </w:p>
        </w:tc>
        <w:tc>
          <w:tcPr>
            <w:tcW w:w="229"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67" w:type="dxa"/>
            <w:tcBorders/>
            <w:shd w:fill="CCEEFF" w:val="cle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18,341</w:t>
            </w:r>
          </w:p>
        </w:tc>
      </w:tr>
    </w:tbl>
    <w:p>
      <w:pPr>
        <w:pStyle w:val="TextBody"/>
        <w:pBdr/>
        <w:shd w:fill="FFFFFF" w:val="clear"/>
        <w:bidi w:val="0"/>
        <w:spacing w:before="100" w:after="100"/>
        <w:ind w:left="0" w:right="0" w:hanging="0"/>
        <w:jc w:val="both"/>
        <w:rPr/>
      </w:pPr>
      <w:r>
        <w:rPr/>
        <w:t>​</w:t>
      </w:r>
    </w:p>
    <w:tbl>
      <w:tblPr>
        <w:tblW w:w="10205" w:type="dxa"/>
        <w:jc w:val="left"/>
        <w:tblInd w:w="0" w:type="dxa"/>
        <w:shd w:fill="FFFFFF" w:val="clear"/>
        <w:tblLayout w:type="fixed"/>
        <w:tblCellMar>
          <w:top w:w="0" w:type="dxa"/>
          <w:left w:w="0" w:type="dxa"/>
          <w:bottom w:w="0" w:type="dxa"/>
          <w:right w:w="0" w:type="dxa"/>
        </w:tblCellMar>
      </w:tblPr>
      <w:tblGrid>
        <w:gridCol w:w="328"/>
        <w:gridCol w:w="9877"/>
      </w:tblGrid>
      <w:tr>
        <w:trPr/>
        <w:tc>
          <w:tcPr>
            <w:tcW w:w="328"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877"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 aggregate intrinsic value of restricted stock units outstanding was based on our closing stock price on the last trading day of the period. </w:t>
            </w:r>
          </w:p>
        </w:tc>
      </w:tr>
    </w:tbl>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b/>
          <w:i/>
          <w:sz w:val="20"/>
        </w:rPr>
      </w:pPr>
      <w:bookmarkStart w:id="942" w:name="Tc_l8uJTbt8eku-n0dYnjtTxw_9_7"/>
      <w:bookmarkStart w:id="943" w:name="Tc_1MVOjff25USJb0qbF2FE2Q_9_4"/>
      <w:bookmarkStart w:id="944" w:name="Tc_G3gMqgPdjU269U_oYwcBkQ_9_0"/>
      <w:bookmarkStart w:id="945" w:name="Tc_G2cVSxKWQ0yzbf67UaxNFg_8_0"/>
      <w:bookmarkStart w:id="946" w:name="Tc_9QiAA1f5mEO3fyKzlnPrtg_7_0"/>
      <w:bookmarkStart w:id="947" w:name="Tc_bbli5tGfQEGbxbSPai8V_g_6_0"/>
      <w:bookmarkStart w:id="948" w:name="Tc_j582Q6lCkkCXoJ4shTHhkA_5_7"/>
      <w:bookmarkStart w:id="949" w:name="Tc_U0ufHmsoFkmYLPe1VCnGDg_5_4"/>
      <w:bookmarkStart w:id="950" w:name="Tc_JSz1l7llb0y9xAfCM5xjVA_5_0"/>
      <w:bookmarkStart w:id="951" w:name="Tc_GOr7Wz8pbEeX39LBJY6ogA_4_7"/>
      <w:bookmarkStart w:id="952" w:name="Tc_syMJ_TdFsEq2iy2oxomQ9w_4_4"/>
      <w:bookmarkStart w:id="953" w:name="Tc_MNorqGU2NUGdU_Q23ZrmCw_4_2"/>
      <w:bookmarkStart w:id="954" w:name="Tc_vJ131dVz-kafICtqwwb7bg_4_0"/>
      <w:bookmarkStart w:id="955" w:name="Tc_AI6XGLW6UkqhLRl3mqOtLA_3_7"/>
      <w:bookmarkStart w:id="956" w:name="Tc_a09umuSJS0-gWvYdR2XXUA_3_4"/>
      <w:bookmarkStart w:id="957" w:name="Tc_MO74XScGzkO2jKi0dn2rpQ_3_2"/>
      <w:bookmarkStart w:id="958" w:name="Tc_lGUeA6d1jEKPM_V8RSXVXw_2_7"/>
      <w:bookmarkStart w:id="959" w:name="Tc_5nYJenzdgkWrxGmH4FnK2Q_2_4"/>
      <w:bookmarkStart w:id="960" w:name="Tc_dFyfj0iIfUGX82evXkiG8w_1_4"/>
      <w:bookmarkStart w:id="961" w:name="_375f1798_e98a_4801_8ab8_bc0c36a3e32d"/>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Arial;Helvetica;sans-serif" w:hAnsi="Arial;Helvetica;sans-serif"/>
          <w:b/>
          <w:i/>
          <w:sz w:val="20"/>
        </w:rPr>
        <w:t>Performance-Based Restricted Stock Units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We have granted performance-based restricted stock units (“PSUs”) to certain participants. These PSUs have both performance-based and time-based vesting features. The PSUs granted in 2025 have three</w:t>
      </w:r>
      <w:r>
        <w:rPr>
          <w:rFonts w:ascii="Times New Roman;Times;serif" w:hAnsi="Times New Roman;Times;serif"/>
          <w:sz w:val="20"/>
        </w:rPr>
        <w:t xml:space="preserve"> </w:t>
      </w:r>
      <w:r>
        <w:rPr>
          <w:rFonts w:ascii="Arial;Helvetica;sans-serif" w:hAnsi="Arial;Helvetica;sans-serif"/>
          <w:sz w:val="20"/>
        </w:rPr>
        <w:t xml:space="preserve">separate performance periods, and </w:t>
      </w:r>
      <w:r>
        <w:rPr>
          <w:rFonts w:ascii="Arial;Helvetica;sans-serif" w:hAnsi="Arial;Helvetica;sans-serif"/>
          <w:b w:val="false"/>
          <w:i w:val="false"/>
          <w:caps w:val="false"/>
          <w:smallCaps w:val="false"/>
          <w:sz w:val="20"/>
        </w:rPr>
        <w:t>one-third</w:t>
      </w:r>
      <w:r>
        <w:rPr>
          <w:rFonts w:ascii="Times New Roman;Times;serif" w:hAnsi="Times New Roman;Times;serif"/>
          <w:sz w:val="20"/>
        </w:rPr>
        <w:t xml:space="preserve"> </w:t>
      </w:r>
      <w:r>
        <w:rPr>
          <w:rFonts w:ascii="Arial;Helvetica;sans-serif" w:hAnsi="Arial;Helvetica;sans-serif"/>
          <w:sz w:val="20"/>
        </w:rPr>
        <w:t>of each grant will be earned if and to the extent performance goals based on revenue and adjusted EBITDA margin are achieved in 2025 (ranging from 25%</w:t>
      </w:r>
      <w:r>
        <w:rPr>
          <w:rFonts w:ascii="Times New Roman;Times;serif" w:hAnsi="Times New Roman;Times;serif"/>
          <w:sz w:val="20"/>
        </w:rPr>
        <w:t xml:space="preserve"> </w:t>
      </w:r>
      <w:r>
        <w:rPr>
          <w:rFonts w:ascii="Arial;Helvetica;sans-serif" w:hAnsi="Arial;Helvetica;sans-serif"/>
          <w:sz w:val="20"/>
        </w:rPr>
        <w:t>to 175%</w:t>
      </w:r>
      <w:r>
        <w:rPr>
          <w:rFonts w:ascii="Times New Roman;Times;serif" w:hAnsi="Times New Roman;Times;serif"/>
          <w:sz w:val="20"/>
        </w:rPr>
        <w:t xml:space="preserve"> </w:t>
      </w:r>
      <w:r>
        <w:rPr>
          <w:rFonts w:ascii="Arial;Helvetica;sans-serif" w:hAnsi="Arial;Helvetica;sans-serif"/>
          <w:sz w:val="20"/>
        </w:rPr>
        <w:t xml:space="preserve">of target), </w:t>
      </w:r>
      <w:r>
        <w:rPr>
          <w:rFonts w:ascii="Arial;Helvetica;sans-serif" w:hAnsi="Arial;Helvetica;sans-serif"/>
          <w:b w:val="false"/>
          <w:i w:val="false"/>
          <w:caps w:val="false"/>
          <w:smallCaps w:val="false"/>
          <w:sz w:val="20"/>
        </w:rPr>
        <w:t>one-third</w:t>
      </w:r>
      <w:r>
        <w:rPr>
          <w:rFonts w:ascii="Times New Roman;Times;serif" w:hAnsi="Times New Roman;Times;serif"/>
          <w:sz w:val="20"/>
        </w:rPr>
        <w:t xml:space="preserve"> </w:t>
      </w:r>
      <w:r>
        <w:rPr>
          <w:rFonts w:ascii="Arial;Helvetica;sans-serif" w:hAnsi="Arial;Helvetica;sans-serif"/>
          <w:sz w:val="20"/>
        </w:rPr>
        <w:t>will be earned if and to the extent performance goals based on revenue change and adjusted EBITDA change are achieved in 2026 (ranging from 25%</w:t>
      </w:r>
      <w:r>
        <w:rPr>
          <w:rFonts w:ascii="Times New Roman;Times;serif" w:hAnsi="Times New Roman;Times;serif"/>
          <w:sz w:val="20"/>
        </w:rPr>
        <w:t xml:space="preserve"> </w:t>
      </w:r>
      <w:r>
        <w:rPr>
          <w:rFonts w:ascii="Arial;Helvetica;sans-serif" w:hAnsi="Arial;Helvetica;sans-serif"/>
          <w:sz w:val="20"/>
        </w:rPr>
        <w:t>to 175%</w:t>
      </w:r>
      <w:r>
        <w:rPr>
          <w:rFonts w:ascii="Times New Roman;Times;serif" w:hAnsi="Times New Roman;Times;serif"/>
          <w:sz w:val="20"/>
        </w:rPr>
        <w:t xml:space="preserve"> </w:t>
      </w:r>
      <w:r>
        <w:rPr>
          <w:rFonts w:ascii="Arial;Helvetica;sans-serif" w:hAnsi="Arial;Helvetica;sans-serif"/>
          <w:sz w:val="20"/>
        </w:rPr>
        <w:t xml:space="preserve">of target), and </w:t>
      </w:r>
      <w:r>
        <w:rPr>
          <w:rFonts w:ascii="Arial;Helvetica;sans-serif" w:hAnsi="Arial;Helvetica;sans-serif"/>
          <w:b w:val="false"/>
          <w:i w:val="false"/>
          <w:caps w:val="false"/>
          <w:smallCaps w:val="false"/>
          <w:sz w:val="20"/>
        </w:rPr>
        <w:t>one-third</w:t>
      </w:r>
      <w:r>
        <w:rPr>
          <w:rFonts w:ascii="Times New Roman;Times;serif" w:hAnsi="Times New Roman;Times;serif"/>
          <w:sz w:val="20"/>
        </w:rPr>
        <w:t xml:space="preserve"> </w:t>
      </w:r>
      <w:r>
        <w:rPr>
          <w:rFonts w:ascii="Arial;Helvetica;sans-serif" w:hAnsi="Arial;Helvetica;sans-serif"/>
          <w:sz w:val="20"/>
        </w:rPr>
        <w:t>will be earned if and to the extent performance goals based on revenue change and adjusted EBITDA change are achieved in 2027 (ranging from 25%</w:t>
      </w:r>
      <w:r>
        <w:rPr>
          <w:rFonts w:ascii="Times New Roman;Times;serif" w:hAnsi="Times New Roman;Times;serif"/>
          <w:sz w:val="20"/>
        </w:rPr>
        <w:t xml:space="preserve"> </w:t>
      </w:r>
      <w:r>
        <w:rPr>
          <w:rFonts w:ascii="Arial;Helvetica;sans-serif" w:hAnsi="Arial;Helvetica;sans-serif"/>
          <w:sz w:val="20"/>
        </w:rPr>
        <w:t>to 175%</w:t>
      </w:r>
      <w:r>
        <w:rPr>
          <w:rFonts w:ascii="Times New Roman;Times;serif" w:hAnsi="Times New Roman;Times;serif"/>
          <w:sz w:val="20"/>
        </w:rPr>
        <w:t xml:space="preserve"> </w:t>
      </w:r>
      <w:r>
        <w:rPr>
          <w:rFonts w:ascii="Arial;Helvetica;sans-serif" w:hAnsi="Arial;Helvetica;sans-serif"/>
          <w:sz w:val="20"/>
        </w:rPr>
        <w:t>of target). The PSUs granted in 2026 have three</w:t>
      </w:r>
      <w:r>
        <w:rPr>
          <w:rFonts w:ascii="Times New Roman;Times;serif" w:hAnsi="Times New Roman;Times;serif"/>
          <w:sz w:val="20"/>
        </w:rPr>
        <w:t xml:space="preserve"> </w:t>
      </w:r>
      <w:r>
        <w:rPr>
          <w:rFonts w:ascii="Arial;Helvetica;sans-serif" w:hAnsi="Arial;Helvetica;sans-serif"/>
          <w:sz w:val="20"/>
        </w:rPr>
        <w:t xml:space="preserve">separate performance periods, and </w:t>
      </w:r>
      <w:r>
        <w:rPr>
          <w:rFonts w:ascii="Arial;Helvetica;sans-serif" w:hAnsi="Arial;Helvetica;sans-serif"/>
          <w:b w:val="false"/>
          <w:i w:val="false"/>
          <w:caps w:val="false"/>
          <w:smallCaps w:val="false"/>
          <w:sz w:val="20"/>
        </w:rPr>
        <w:t>one-third</w:t>
      </w:r>
      <w:r>
        <w:rPr>
          <w:rFonts w:ascii="Times New Roman;Times;serif" w:hAnsi="Times New Roman;Times;serif"/>
          <w:sz w:val="20"/>
        </w:rPr>
        <w:t xml:space="preserve"> </w:t>
      </w:r>
      <w:r>
        <w:rPr>
          <w:rFonts w:ascii="Arial;Helvetica;sans-serif" w:hAnsi="Arial;Helvetica;sans-serif"/>
          <w:sz w:val="20"/>
        </w:rPr>
        <w:t>of each grant will be earned if and to the extent performance goals based on revenue and adjusted EBITDA margin are achieved in 2026 (ranging from 25%</w:t>
      </w:r>
      <w:r>
        <w:rPr>
          <w:rFonts w:ascii="Times New Roman;Times;serif" w:hAnsi="Times New Roman;Times;serif"/>
          <w:sz w:val="20"/>
        </w:rPr>
        <w:t xml:space="preserve"> </w:t>
      </w:r>
      <w:r>
        <w:rPr>
          <w:rFonts w:ascii="Arial;Helvetica;sans-serif" w:hAnsi="Arial;Helvetica;sans-serif"/>
          <w:sz w:val="20"/>
        </w:rPr>
        <w:t>to 175%</w:t>
      </w:r>
      <w:r>
        <w:rPr>
          <w:rFonts w:ascii="Times New Roman;Times;serif" w:hAnsi="Times New Roman;Times;serif"/>
          <w:sz w:val="20"/>
        </w:rPr>
        <w:t xml:space="preserve"> </w:t>
      </w:r>
      <w:r>
        <w:rPr>
          <w:rFonts w:ascii="Arial;Helvetica;sans-serif" w:hAnsi="Arial;Helvetica;sans-serif"/>
          <w:sz w:val="20"/>
        </w:rPr>
        <w:t xml:space="preserve">of target), </w:t>
      </w:r>
      <w:r>
        <w:rPr>
          <w:rFonts w:ascii="Arial;Helvetica;sans-serif" w:hAnsi="Arial;Helvetica;sans-serif"/>
          <w:b w:val="false"/>
          <w:i w:val="false"/>
          <w:caps w:val="false"/>
          <w:smallCaps w:val="false"/>
          <w:sz w:val="20"/>
        </w:rPr>
        <w:t>one-third</w:t>
      </w:r>
      <w:r>
        <w:rPr>
          <w:rFonts w:ascii="Times New Roman;Times;serif" w:hAnsi="Times New Roman;Times;serif"/>
          <w:sz w:val="20"/>
        </w:rPr>
        <w:t xml:space="preserve"> </w:t>
      </w:r>
      <w:r>
        <w:rPr>
          <w:rFonts w:ascii="Arial;Helvetica;sans-serif" w:hAnsi="Arial;Helvetica;sans-serif"/>
          <w:sz w:val="20"/>
        </w:rPr>
        <w:t>will be earned if and to the extent performance goals based on revenue change and adjusted EBITDA change are achieved in 2027 (ranging from 25%</w:t>
      </w:r>
      <w:r>
        <w:rPr>
          <w:rFonts w:ascii="Times New Roman;Times;serif" w:hAnsi="Times New Roman;Times;serif"/>
          <w:sz w:val="20"/>
        </w:rPr>
        <w:t xml:space="preserve"> </w:t>
      </w:r>
      <w:r>
        <w:rPr>
          <w:rFonts w:ascii="Arial;Helvetica;sans-serif" w:hAnsi="Arial;Helvetica;sans-serif"/>
          <w:sz w:val="20"/>
        </w:rPr>
        <w:t>to 175%</w:t>
      </w:r>
      <w:r>
        <w:rPr>
          <w:rFonts w:ascii="Times New Roman;Times;serif" w:hAnsi="Times New Roman;Times;serif"/>
          <w:sz w:val="20"/>
        </w:rPr>
        <w:t xml:space="preserve"> </w:t>
      </w:r>
      <w:r>
        <w:rPr>
          <w:rFonts w:ascii="Arial;Helvetica;sans-serif" w:hAnsi="Arial;Helvetica;sans-serif"/>
          <w:sz w:val="20"/>
        </w:rPr>
        <w:t xml:space="preserve">of target), and </w:t>
      </w:r>
      <w:r>
        <w:rPr>
          <w:rFonts w:ascii="Arial;Helvetica;sans-serif" w:hAnsi="Arial;Helvetica;sans-serif"/>
          <w:b w:val="false"/>
          <w:i w:val="false"/>
          <w:caps w:val="false"/>
          <w:smallCaps w:val="false"/>
          <w:sz w:val="20"/>
        </w:rPr>
        <w:t>one-third</w:t>
      </w:r>
      <w:r>
        <w:rPr>
          <w:rFonts w:ascii="Times New Roman;Times;serif" w:hAnsi="Times New Roman;Times;serif"/>
          <w:sz w:val="20"/>
        </w:rPr>
        <w:t xml:space="preserve"> </w:t>
      </w:r>
      <w:r>
        <w:rPr>
          <w:rFonts w:ascii="Arial;Helvetica;sans-serif" w:hAnsi="Arial;Helvetica;sans-serif"/>
          <w:sz w:val="20"/>
        </w:rPr>
        <w:t>will be earned if and to the extent performance goals based on revenue change and adjusted EBITDA change are achieved in 2028 (ranging from 25%</w:t>
      </w:r>
      <w:r>
        <w:rPr>
          <w:rFonts w:ascii="Times New Roman;Times;serif" w:hAnsi="Times New Roman;Times;serif"/>
          <w:sz w:val="20"/>
        </w:rPr>
        <w:t xml:space="preserve"> </w:t>
      </w:r>
      <w:r>
        <w:rPr>
          <w:rFonts w:ascii="Arial;Helvetica;sans-serif" w:hAnsi="Arial;Helvetica;sans-serif"/>
          <w:sz w:val="20"/>
        </w:rPr>
        <w:t>to 175%</w:t>
      </w:r>
      <w:r>
        <w:rPr>
          <w:rFonts w:ascii="Times New Roman;Times;serif" w:hAnsi="Times New Roman;Times;serif"/>
          <w:sz w:val="20"/>
        </w:rPr>
        <w:t xml:space="preserve"> </w:t>
      </w:r>
      <w:r>
        <w:rPr>
          <w:rFonts w:ascii="Arial;Helvetica;sans-serif" w:hAnsi="Arial;Helvetica;sans-serif"/>
          <w:sz w:val="20"/>
        </w:rPr>
        <w:t>of target). All earned and vested PSUs will be settled in shares of common stock.</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Stock-based compensation expense recognized for PSUs was $0.5</w:t>
      </w:r>
      <w:r>
        <w:rPr>
          <w:rFonts w:ascii="Times New Roman;Times;serif" w:hAnsi="Times New Roman;Times;serif"/>
          <w:sz w:val="20"/>
        </w:rPr>
        <w:t xml:space="preserve"> </w:t>
      </w:r>
      <w:r>
        <w:rPr>
          <w:rFonts w:ascii="Arial;Helvetica;sans-serif" w:hAnsi="Arial;Helvetica;sans-serif"/>
          <w:sz w:val="20"/>
        </w:rPr>
        <w:t>million and $0.3</w:t>
      </w:r>
      <w:r>
        <w:rPr>
          <w:rFonts w:ascii="Times New Roman;Times;serif" w:hAnsi="Times New Roman;Times;serif"/>
          <w:sz w:val="20"/>
        </w:rPr>
        <w:t xml:space="preserve"> </w:t>
      </w:r>
      <w:r>
        <w:rPr>
          <w:rFonts w:ascii="Arial;Helvetica;sans-serif" w:hAnsi="Arial;Helvetica;sans-serif"/>
          <w:sz w:val="20"/>
        </w:rPr>
        <w:t>million for the three months ended June 30, 2026 and 2025, respectively, and $0.8</w:t>
      </w:r>
      <w:r>
        <w:rPr>
          <w:rFonts w:ascii="Times New Roman;Times;serif" w:hAnsi="Times New Roman;Times;serif"/>
          <w:sz w:val="20"/>
        </w:rPr>
        <w:t xml:space="preserve"> </w:t>
      </w:r>
      <w:r>
        <w:rPr>
          <w:rFonts w:ascii="Arial;Helvetica;sans-serif" w:hAnsi="Arial;Helvetica;sans-serif"/>
          <w:sz w:val="20"/>
        </w:rPr>
        <w:t>million and $0.7</w:t>
      </w:r>
      <w:r>
        <w:rPr>
          <w:rFonts w:ascii="Times New Roman;Times;serif" w:hAnsi="Times New Roman;Times;serif"/>
          <w:sz w:val="20"/>
        </w:rPr>
        <w:t xml:space="preserve"> </w:t>
      </w:r>
      <w:r>
        <w:rPr>
          <w:rFonts w:ascii="Arial;Helvetica;sans-serif" w:hAnsi="Arial;Helvetica;sans-serif"/>
          <w:sz w:val="20"/>
        </w:rPr>
        <w:t>million for the six months ended June 30, 2026 and 2025, respectively. As of June 30, 2026, there was approximately $3.2</w:t>
      </w:r>
      <w:r>
        <w:rPr>
          <w:rFonts w:ascii="Times New Roman;Times;serif" w:hAnsi="Times New Roman;Times;serif"/>
          <w:sz w:val="20"/>
        </w:rPr>
        <w:t xml:space="preserve"> </w:t>
      </w:r>
      <w:r>
        <w:rPr>
          <w:rFonts w:ascii="Arial;Helvetica;sans-serif" w:hAnsi="Arial;Helvetica;sans-serif"/>
          <w:sz w:val="20"/>
        </w:rPr>
        <w:t>million of total unrecognized pre-tax compensation expense related to outstanding PSUs that is expected to be recognized over a weighted average period of 2.3</w:t>
      </w:r>
      <w:r>
        <w:rPr>
          <w:rFonts w:ascii="Times New Roman;Times;serif" w:hAnsi="Times New Roman;Times;serif"/>
          <w:sz w:val="20"/>
        </w:rPr>
        <w:t xml:space="preserve"> </w:t>
      </w:r>
      <w:r>
        <w:rPr>
          <w:rFonts w:ascii="Arial;Helvetica;sans-serif" w:hAnsi="Arial;Helvetica;sans-serif"/>
          <w:sz w:val="20"/>
        </w:rPr>
        <w:t>years.</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PSU activity for the six months ended June 30, 2026, was as follows:</w:t>
      </w:r>
    </w:p>
    <w:p>
      <w:pPr>
        <w:pStyle w:val="TextBody"/>
        <w:bidi w:val="0"/>
        <w:spacing w:before="0" w:after="0"/>
        <w:ind w:left="0" w:right="0" w:hanging="0"/>
        <w:jc w:val="left"/>
        <w:rPr/>
      </w:pPr>
      <w:r>
        <w:rPr/>
        <w:t>​</w:t>
      </w:r>
    </w:p>
    <w:tbl>
      <w:tblPr>
        <w:tblW w:w="8181" w:type="dxa"/>
        <w:jc w:val="left"/>
        <w:tblInd w:w="0" w:type="dxa"/>
        <w:tblLayout w:type="fixed"/>
        <w:tblCellMar>
          <w:top w:w="0" w:type="dxa"/>
          <w:left w:w="0" w:type="dxa"/>
          <w:bottom w:w="0" w:type="dxa"/>
          <w:right w:w="0" w:type="dxa"/>
        </w:tblCellMar>
      </w:tblPr>
      <w:tblGrid>
        <w:gridCol w:w="3286"/>
        <w:gridCol w:w="346"/>
        <w:gridCol w:w="1246"/>
        <w:gridCol w:w="346"/>
        <w:gridCol w:w="400"/>
        <w:gridCol w:w="1115"/>
        <w:gridCol w:w="346"/>
        <w:gridCol w:w="229"/>
        <w:gridCol w:w="867"/>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86610" cy="175895"/>
                      <wp:effectExtent l="0" t="0" r="0" b="0"/>
                      <wp:wrapNone/>
                      <wp:docPr id="152" name="Frame152"/>
                      <a:graphic xmlns:a="http://schemas.openxmlformats.org/drawingml/2006/main">
                        <a:graphicData uri="http://schemas.microsoft.com/office/word/2010/wordprocessingShape">
                          <wps:wsp>
                            <wps:cNvSpPr txBox="1"/>
                            <wps:spPr>
                              <a:xfrm>
                                <a:off x="0" y="0"/>
                                <a:ext cx="2086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895"/>
                      <wp:effectExtent l="0" t="0" r="0" b="0"/>
                      <wp:wrapNone/>
                      <wp:docPr id="153" name="Frame15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91210" cy="175895"/>
                      <wp:effectExtent l="0" t="0" r="0" b="0"/>
                      <wp:wrapNone/>
                      <wp:docPr id="154" name="Frame154"/>
                      <a:graphic xmlns:a="http://schemas.openxmlformats.org/drawingml/2006/main">
                        <a:graphicData uri="http://schemas.microsoft.com/office/word/2010/wordprocessingShape">
                          <wps:wsp>
                            <wps:cNvSpPr txBox="1"/>
                            <wps:spPr>
                              <a:xfrm>
                                <a:off x="0" y="0"/>
                                <a:ext cx="7912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895"/>
                      <wp:effectExtent l="0" t="0" r="0" b="0"/>
                      <wp:wrapNone/>
                      <wp:docPr id="155" name="Frame15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54000" cy="175895"/>
                      <wp:effectExtent l="0" t="0" r="0" b="0"/>
                      <wp:wrapNone/>
                      <wp:docPr id="156" name="Frame156"/>
                      <a:graphic xmlns:a="http://schemas.openxmlformats.org/drawingml/2006/main">
                        <a:graphicData uri="http://schemas.microsoft.com/office/word/2010/wordprocessingShape">
                          <wps:wsp>
                            <wps:cNvSpPr txBox="1"/>
                            <wps:spPr>
                              <a:xfrm>
                                <a:off x="0" y="0"/>
                                <a:ext cx="2540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08025" cy="175895"/>
                      <wp:effectExtent l="0" t="0" r="0" b="0"/>
                      <wp:wrapNone/>
                      <wp:docPr id="157" name="Frame157"/>
                      <a:graphic xmlns:a="http://schemas.openxmlformats.org/drawingml/2006/main">
                        <a:graphicData uri="http://schemas.microsoft.com/office/word/2010/wordprocessingShape">
                          <wps:wsp>
                            <wps:cNvSpPr txBox="1"/>
                            <wps:spPr>
                              <a:xfrm>
                                <a:off x="0" y="0"/>
                                <a:ext cx="7080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895"/>
                      <wp:effectExtent l="0" t="0" r="0" b="0"/>
                      <wp:wrapNone/>
                      <wp:docPr id="158" name="Frame15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5415" cy="175895"/>
                      <wp:effectExtent l="0" t="0" r="0" b="0"/>
                      <wp:wrapNone/>
                      <wp:docPr id="159" name="Frame159"/>
                      <a:graphic xmlns:a="http://schemas.openxmlformats.org/drawingml/2006/main">
                        <a:graphicData uri="http://schemas.microsoft.com/office/word/2010/wordprocessingShape">
                          <wps:wsp>
                            <wps:cNvSpPr txBox="1"/>
                            <wps:spPr>
                              <a:xfrm>
                                <a:off x="0" y="0"/>
                                <a:ext cx="1454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50545" cy="175895"/>
                      <wp:effectExtent l="0" t="0" r="0" b="0"/>
                      <wp:wrapNone/>
                      <wp:docPr id="160" name="Frame160"/>
                      <a:graphic xmlns:a="http://schemas.openxmlformats.org/drawingml/2006/main">
                        <a:graphicData uri="http://schemas.microsoft.com/office/word/2010/wordprocessingShape">
                          <wps:wsp>
                            <wps:cNvSpPr txBox="1"/>
                            <wps:spPr>
                              <a:xfrm>
                                <a:off x="0" y="0"/>
                                <a:ext cx="5505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246"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1515"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Weighted-</w:t>
            </w:r>
          </w:p>
        </w:tc>
        <w:tc>
          <w:tcPr>
            <w:tcW w:w="346" w:type="dxa"/>
            <w:tcBorders/>
            <w:vAlign w:val="center"/>
          </w:tcPr>
          <w:p>
            <w:pPr>
              <w:pStyle w:val="TableContents"/>
              <w:bidi w:val="0"/>
              <w:spacing w:before="1" w:after="1"/>
              <w:ind w:left="0" w:right="0" w:hanging="0"/>
              <w:jc w:val="left"/>
              <w:rPr/>
            </w:pPr>
            <w:r>
              <w:rPr/>
              <w:t>​</w:t>
            </w:r>
          </w:p>
        </w:tc>
        <w:tc>
          <w:tcPr>
            <w:tcW w:w="229" w:type="dxa"/>
            <w:tcBorders/>
            <w:vAlign w:val="center"/>
          </w:tcPr>
          <w:p>
            <w:pPr>
              <w:pStyle w:val="TableContents"/>
              <w:bidi w:val="0"/>
              <w:spacing w:before="1" w:after="1"/>
              <w:ind w:left="0" w:right="0" w:hanging="0"/>
              <w:jc w:val="left"/>
              <w:rPr/>
            </w:pPr>
            <w:r>
              <w:rPr/>
              <w:t>​</w:t>
            </w:r>
          </w:p>
        </w:tc>
        <w:tc>
          <w:tcPr>
            <w:tcW w:w="867" w:type="dxa"/>
            <w:tcBorders/>
            <w:vAlign w:val="center"/>
          </w:tcPr>
          <w:p>
            <w:pPr>
              <w:pStyle w:val="TableContents"/>
              <w:bidi w:val="0"/>
              <w:spacing w:before="1" w:after="1"/>
              <w:ind w:left="0" w:right="0" w:hanging="0"/>
              <w:jc w:val="left"/>
              <w:rPr/>
            </w:pPr>
            <w:r>
              <w:rPr/>
              <w:t>​</w:t>
            </w:r>
          </w:p>
        </w:tc>
      </w:tr>
      <w:tr>
        <w:trPr/>
        <w:tc>
          <w:tcPr>
            <w:tcW w:w="328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1246"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  ​ ​ ​</w:t>
            </w:r>
          </w:p>
        </w:tc>
        <w:tc>
          <w:tcPr>
            <w:tcW w:w="1515"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Average Grant</w:t>
            </w:r>
          </w:p>
        </w:tc>
        <w:tc>
          <w:tcPr>
            <w:tcW w:w="346" w:type="dxa"/>
            <w:tcBorders/>
            <w:vAlign w:val="center"/>
          </w:tcPr>
          <w:p>
            <w:pPr>
              <w:pStyle w:val="TableContents"/>
              <w:bidi w:val="0"/>
              <w:spacing w:before="1" w:after="1"/>
              <w:ind w:left="0" w:right="0" w:hanging="0"/>
              <w:jc w:val="left"/>
              <w:rPr/>
            </w:pPr>
            <w:r>
              <w:rPr/>
              <w:t>  ​ ​ ​</w:t>
            </w:r>
          </w:p>
        </w:tc>
        <w:tc>
          <w:tcPr>
            <w:tcW w:w="1096"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Aggregate</w:t>
            </w:r>
          </w:p>
        </w:tc>
      </w:tr>
      <w:tr>
        <w:trPr/>
        <w:tc>
          <w:tcPr>
            <w:tcW w:w="328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246" w:type="dxa"/>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PSUs</w:t>
            </w:r>
          </w:p>
        </w:tc>
        <w:tc>
          <w:tcPr>
            <w:tcW w:w="346" w:type="dxa"/>
            <w:tcBorders/>
            <w:vAlign w:val="center"/>
          </w:tcPr>
          <w:p>
            <w:pPr>
              <w:pStyle w:val="TableContents"/>
              <w:bidi w:val="0"/>
              <w:spacing w:before="1" w:after="1"/>
              <w:ind w:left="0" w:right="0" w:hanging="0"/>
              <w:jc w:val="left"/>
              <w:rPr/>
            </w:pPr>
            <w:r>
              <w:rPr/>
              <w:t>​</w:t>
            </w:r>
          </w:p>
        </w:tc>
        <w:tc>
          <w:tcPr>
            <w:tcW w:w="1515"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Date Fair Value</w:t>
            </w:r>
          </w:p>
        </w:tc>
        <w:tc>
          <w:tcPr>
            <w:tcW w:w="346" w:type="dxa"/>
            <w:tcBorders/>
            <w:vAlign w:val="center"/>
          </w:tcPr>
          <w:p>
            <w:pPr>
              <w:pStyle w:val="TableContents"/>
              <w:bidi w:val="0"/>
              <w:spacing w:before="1" w:after="1"/>
              <w:ind w:left="0" w:right="0" w:hanging="0"/>
              <w:jc w:val="left"/>
              <w:rPr/>
            </w:pPr>
            <w:r>
              <w:rPr/>
              <w:t>​</w:t>
            </w:r>
          </w:p>
        </w:tc>
        <w:tc>
          <w:tcPr>
            <w:tcW w:w="1096" w:type="dxa"/>
            <w:gridSpan w:val="2"/>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Intrinsic</w:t>
            </w:r>
          </w:p>
        </w:tc>
      </w:tr>
      <w:tr>
        <w:trPr/>
        <w:tc>
          <w:tcPr>
            <w:tcW w:w="328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 except unit and per unit data)</w:t>
            </w:r>
          </w:p>
        </w:tc>
        <w:tc>
          <w:tcPr>
            <w:tcW w:w="346" w:type="dxa"/>
            <w:tcBorders/>
            <w:vAlign w:val="center"/>
          </w:tcPr>
          <w:p>
            <w:pPr>
              <w:pStyle w:val="TableContents"/>
              <w:bidi w:val="0"/>
              <w:spacing w:before="1"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Outstanding</w:t>
            </w:r>
          </w:p>
        </w:tc>
        <w:tc>
          <w:tcPr>
            <w:tcW w:w="346" w:type="dxa"/>
            <w:tcBorders/>
            <w:vAlign w:val="center"/>
          </w:tcPr>
          <w:p>
            <w:pPr>
              <w:pStyle w:val="TableContents"/>
              <w:bidi w:val="0"/>
              <w:spacing w:before="1" w:after="1"/>
              <w:ind w:left="0" w:right="0" w:hanging="0"/>
              <w:jc w:val="left"/>
              <w:rPr/>
            </w:pPr>
            <w:r>
              <w:rPr/>
              <w:t>​</w:t>
            </w:r>
          </w:p>
        </w:tc>
        <w:tc>
          <w:tcPr>
            <w:tcW w:w="151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Per Unit</w:t>
            </w:r>
          </w:p>
        </w:tc>
        <w:tc>
          <w:tcPr>
            <w:tcW w:w="346" w:type="dxa"/>
            <w:tcBorders/>
            <w:vAlign w:val="center"/>
          </w:tcPr>
          <w:p>
            <w:pPr>
              <w:pStyle w:val="TableContents"/>
              <w:bidi w:val="0"/>
              <w:spacing w:before="1"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40" w:before="1" w:after="1"/>
              <w:ind w:left="0" w:right="0" w:hanging="0"/>
              <w:jc w:val="center"/>
              <w:rPr>
                <w:rFonts w:ascii="Times New Roman;Times;serif" w:hAnsi="Times New Roman;Times;serif"/>
                <w:sz w:val="16"/>
              </w:rPr>
            </w:pPr>
            <w:r>
              <w:rPr>
                <w:rFonts w:ascii="Arial;Helvetica;sans-serif" w:hAnsi="Arial;Helvetica;sans-serif"/>
                <w:b/>
                <w:sz w:val="20"/>
              </w:rPr>
              <w:t xml:space="preserve">Value </w:t>
            </w:r>
            <w:r>
              <w:rPr>
                <w:rFonts w:ascii="Arial;Helvetica;sans-serif" w:hAnsi="Arial;Helvetica;sans-serif"/>
                <w:b/>
                <w:sz w:val="12"/>
              </w:rPr>
              <w:t>(1)</w:t>
            </w:r>
          </w:p>
        </w:tc>
      </w:tr>
      <w:tr>
        <w:trPr/>
        <w:tc>
          <w:tcPr>
            <w:tcW w:w="32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Balance at December 31, 2025</w:t>
            </w:r>
          </w:p>
        </w:tc>
        <w:tc>
          <w:tcPr>
            <w:tcW w:w="346" w:type="dxa"/>
            <w:tcBorders/>
            <w:shd w:fill="CCEEFF" w:val="clear"/>
            <w:vAlign w:val="center"/>
          </w:tcPr>
          <w:p>
            <w:pPr>
              <w:pStyle w:val="TableContents"/>
              <w:bidi w:val="0"/>
              <w:spacing w:before="1" w:after="1"/>
              <w:ind w:left="0" w:right="0" w:hanging="0"/>
              <w:jc w:val="left"/>
              <w:rPr/>
            </w:pPr>
            <w:r>
              <w:rPr/>
              <w:t>​</w:t>
            </w:r>
          </w:p>
        </w:tc>
        <w:tc>
          <w:tcPr>
            <w:tcW w:w="124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310,296</w:t>
            </w:r>
          </w:p>
        </w:tc>
        <w:tc>
          <w:tcPr>
            <w:tcW w:w="346" w:type="dxa"/>
            <w:tcBorders/>
            <w:shd w:fill="CCEEFF" w:val="clear"/>
            <w:vAlign w:val="center"/>
          </w:tcPr>
          <w:p>
            <w:pPr>
              <w:pStyle w:val="TableContents"/>
              <w:bidi w:val="0"/>
              <w:spacing w:before="1" w:after="1"/>
              <w:ind w:left="0" w:right="0" w:hanging="0"/>
              <w:jc w:val="left"/>
              <w:rPr/>
            </w:pPr>
            <w:r>
              <w:rPr/>
              <w:t>​</w:t>
            </w:r>
          </w:p>
        </w:tc>
        <w:tc>
          <w:tcPr>
            <w:tcW w:w="400"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115"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14.76</w:t>
            </w:r>
          </w:p>
        </w:tc>
        <w:tc>
          <w:tcPr>
            <w:tcW w:w="346" w:type="dxa"/>
            <w:tcBorders/>
            <w:shd w:fill="CCEEFF" w:val="clear"/>
            <w:vAlign w:val="center"/>
          </w:tcPr>
          <w:p>
            <w:pPr>
              <w:pStyle w:val="TableContents"/>
              <w:bidi w:val="0"/>
              <w:spacing w:before="1" w:after="1"/>
              <w:ind w:left="0" w:right="0" w:hanging="0"/>
              <w:jc w:val="left"/>
              <w:rPr/>
            </w:pPr>
            <w:r>
              <w:rPr/>
              <w:t>​</w:t>
            </w:r>
          </w:p>
        </w:tc>
        <w:tc>
          <w:tcPr>
            <w:tcW w:w="229"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6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8,999</w:t>
            </w:r>
          </w:p>
        </w:tc>
      </w:tr>
      <w:tr>
        <w:trPr/>
        <w:tc>
          <w:tcPr>
            <w:tcW w:w="328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vAlign w:val="center"/>
          </w:tcPr>
          <w:p>
            <w:pPr>
              <w:pStyle w:val="TableContents"/>
              <w:bidi w:val="0"/>
              <w:spacing w:before="1" w:after="1"/>
              <w:ind w:left="0" w:right="0" w:hanging="0"/>
              <w:jc w:val="left"/>
              <w:rPr/>
            </w:pPr>
            <w:r>
              <w:rPr/>
              <w:t>​</w:t>
            </w:r>
          </w:p>
        </w:tc>
        <w:tc>
          <w:tcPr>
            <w:tcW w:w="124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108,846</w:t>
            </w:r>
          </w:p>
        </w:tc>
        <w:tc>
          <w:tcPr>
            <w:tcW w:w="346" w:type="dxa"/>
            <w:tcBorders/>
            <w:vAlign w:val="center"/>
          </w:tcPr>
          <w:p>
            <w:pPr>
              <w:pStyle w:val="TableContents"/>
              <w:bidi w:val="0"/>
              <w:spacing w:before="1" w:after="1"/>
              <w:ind w:left="0" w:right="0" w:hanging="0"/>
              <w:jc w:val="left"/>
              <w:rPr/>
            </w:pPr>
            <w:r>
              <w:rPr/>
              <w:t>​</w:t>
            </w:r>
          </w:p>
        </w:tc>
        <w:tc>
          <w:tcPr>
            <w:tcW w:w="400" w:type="dxa"/>
            <w:tcBorders/>
            <w:vAlign w:val="center"/>
          </w:tcPr>
          <w:p>
            <w:pPr>
              <w:pStyle w:val="TableContents"/>
              <w:bidi w:val="0"/>
              <w:spacing w:before="1" w:after="1"/>
              <w:ind w:left="0" w:right="0" w:hanging="0"/>
              <w:jc w:val="left"/>
              <w:rPr/>
            </w:pPr>
            <w:r>
              <w:rPr/>
              <w:t>​</w:t>
            </w:r>
          </w:p>
        </w:tc>
        <w:tc>
          <w:tcPr>
            <w:tcW w:w="1115"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28.25</w:t>
            </w:r>
          </w:p>
        </w:tc>
        <w:tc>
          <w:tcPr>
            <w:tcW w:w="346" w:type="dxa"/>
            <w:tcBorders/>
            <w:vAlign w:val="center"/>
          </w:tcPr>
          <w:p>
            <w:pPr>
              <w:pStyle w:val="TableContents"/>
              <w:bidi w:val="0"/>
              <w:spacing w:before="1" w:after="1"/>
              <w:ind w:left="0" w:right="0" w:hanging="0"/>
              <w:jc w:val="left"/>
              <w:rPr/>
            </w:pPr>
            <w:r>
              <w:rPr/>
              <w:t>​</w:t>
            </w:r>
          </w:p>
        </w:tc>
        <w:tc>
          <w:tcPr>
            <w:tcW w:w="229" w:type="dxa"/>
            <w:tcBorders/>
            <w:vAlign w:val="center"/>
          </w:tcPr>
          <w:p>
            <w:pPr>
              <w:pStyle w:val="TableContents"/>
              <w:bidi w:val="0"/>
              <w:spacing w:before="1" w:after="1"/>
              <w:ind w:left="0" w:right="0" w:hanging="0"/>
              <w:jc w:val="left"/>
              <w:rPr/>
            </w:pPr>
            <w:r>
              <w:rPr/>
              <w:t>​</w:t>
            </w:r>
          </w:p>
        </w:tc>
        <w:tc>
          <w:tcPr>
            <w:tcW w:w="867" w:type="dxa"/>
            <w:tcBorders/>
            <w:vAlign w:val="center"/>
          </w:tcPr>
          <w:p>
            <w:pPr>
              <w:pStyle w:val="TableContents"/>
              <w:bidi w:val="0"/>
              <w:spacing w:before="1" w:after="1"/>
              <w:ind w:left="0" w:right="0" w:hanging="0"/>
              <w:jc w:val="right"/>
              <w:rPr/>
            </w:pPr>
            <w:r>
              <w:rPr/>
              <w:t>​</w:t>
            </w:r>
          </w:p>
        </w:tc>
      </w:tr>
      <w:tr>
        <w:trPr/>
        <w:tc>
          <w:tcPr>
            <w:tcW w:w="32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Adjusted</w:t>
            </w:r>
          </w:p>
        </w:tc>
        <w:tc>
          <w:tcPr>
            <w:tcW w:w="346" w:type="dxa"/>
            <w:tcBorders/>
            <w:shd w:fill="CCEEFF" w:val="clear"/>
            <w:vAlign w:val="center"/>
          </w:tcPr>
          <w:p>
            <w:pPr>
              <w:pStyle w:val="TableContents"/>
              <w:bidi w:val="0"/>
              <w:spacing w:before="1" w:after="1"/>
              <w:ind w:left="0" w:right="0" w:hanging="0"/>
              <w:jc w:val="left"/>
              <w:rPr/>
            </w:pPr>
            <w:r>
              <w:rPr/>
              <w:t>​</w:t>
            </w:r>
          </w:p>
        </w:tc>
        <w:tc>
          <w:tcPr>
            <w:tcW w:w="124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12,705</w:t>
            </w:r>
          </w:p>
        </w:tc>
        <w:tc>
          <w:tcPr>
            <w:tcW w:w="346" w:type="dxa"/>
            <w:tcBorders/>
            <w:shd w:fill="CCEEFF" w:val="clear"/>
            <w:vAlign w:val="center"/>
          </w:tcPr>
          <w:p>
            <w:pPr>
              <w:pStyle w:val="TableContents"/>
              <w:bidi w:val="0"/>
              <w:spacing w:before="1" w:after="1"/>
              <w:ind w:left="0" w:right="0" w:hanging="0"/>
              <w:jc w:val="left"/>
              <w:rPr/>
            </w:pPr>
            <w:r>
              <w:rPr/>
              <w:t>​</w:t>
            </w:r>
          </w:p>
        </w:tc>
        <w:tc>
          <w:tcPr>
            <w:tcW w:w="400" w:type="dxa"/>
            <w:tcBorders/>
            <w:shd w:fill="CCEEFF" w:val="clear"/>
            <w:vAlign w:val="center"/>
          </w:tcPr>
          <w:p>
            <w:pPr>
              <w:pStyle w:val="TableContents"/>
              <w:bidi w:val="0"/>
              <w:spacing w:before="1" w:after="1"/>
              <w:ind w:left="0" w:right="0" w:hanging="0"/>
              <w:jc w:val="left"/>
              <w:rPr/>
            </w:pPr>
            <w:r>
              <w:rPr/>
              <w:t>​</w:t>
            </w:r>
          </w:p>
        </w:tc>
        <w:tc>
          <w:tcPr>
            <w:tcW w:w="1115"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29" w:type="dxa"/>
            <w:tcBorders/>
            <w:shd w:fill="CCEEFF" w:val="clear"/>
            <w:vAlign w:val="center"/>
          </w:tcPr>
          <w:p>
            <w:pPr>
              <w:pStyle w:val="TableContents"/>
              <w:bidi w:val="0"/>
              <w:spacing w:before="1" w:after="1"/>
              <w:ind w:left="0" w:right="0" w:hanging="0"/>
              <w:jc w:val="left"/>
              <w:rPr/>
            </w:pPr>
            <w:r>
              <w:rPr/>
              <w:t>​</w:t>
            </w:r>
          </w:p>
        </w:tc>
        <w:tc>
          <w:tcPr>
            <w:tcW w:w="867" w:type="dxa"/>
            <w:tcBorders/>
            <w:shd w:fill="CCEEFF" w:val="clear"/>
            <w:vAlign w:val="center"/>
          </w:tcPr>
          <w:p>
            <w:pPr>
              <w:pStyle w:val="TableContents"/>
              <w:bidi w:val="0"/>
              <w:spacing w:before="1" w:after="1"/>
              <w:ind w:left="0" w:right="0" w:hanging="0"/>
              <w:jc w:val="right"/>
              <w:rPr/>
            </w:pPr>
            <w:r>
              <w:rPr/>
              <w:t>​</w:t>
            </w:r>
          </w:p>
        </w:tc>
      </w:tr>
      <w:tr>
        <w:trPr/>
        <w:tc>
          <w:tcPr>
            <w:tcW w:w="328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Vested</w:t>
            </w:r>
          </w:p>
        </w:tc>
        <w:tc>
          <w:tcPr>
            <w:tcW w:w="346" w:type="dxa"/>
            <w:tcBorders/>
            <w:vAlign w:val="center"/>
          </w:tcPr>
          <w:p>
            <w:pPr>
              <w:pStyle w:val="TableContents"/>
              <w:bidi w:val="0"/>
              <w:spacing w:before="1"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(95,377)</w:t>
            </w:r>
          </w:p>
        </w:tc>
        <w:tc>
          <w:tcPr>
            <w:tcW w:w="346" w:type="dxa"/>
            <w:tcBorders/>
            <w:vAlign w:val="center"/>
          </w:tcPr>
          <w:p>
            <w:pPr>
              <w:pStyle w:val="TableContents"/>
              <w:bidi w:val="0"/>
              <w:spacing w:before="1" w:after="1"/>
              <w:ind w:left="0" w:right="0" w:hanging="0"/>
              <w:jc w:val="left"/>
              <w:rPr/>
            </w:pPr>
            <w:r>
              <w:rPr/>
              <w:t>​</w:t>
            </w:r>
          </w:p>
        </w:tc>
        <w:tc>
          <w:tcPr>
            <w:tcW w:w="400" w:type="dxa"/>
            <w:tcBorders/>
            <w:vAlign w:val="center"/>
          </w:tcPr>
          <w:p>
            <w:pPr>
              <w:pStyle w:val="TableContents"/>
              <w:bidi w:val="0"/>
              <w:spacing w:before="1" w:after="1"/>
              <w:ind w:left="0" w:right="0" w:hanging="0"/>
              <w:jc w:val="left"/>
              <w:rPr/>
            </w:pPr>
            <w:r>
              <w:rPr/>
              <w:t>​</w:t>
            </w:r>
          </w:p>
        </w:tc>
        <w:tc>
          <w:tcPr>
            <w:tcW w:w="1115"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14.16</w:t>
            </w:r>
          </w:p>
        </w:tc>
        <w:tc>
          <w:tcPr>
            <w:tcW w:w="346" w:type="dxa"/>
            <w:tcBorders/>
            <w:vAlign w:val="center"/>
          </w:tcPr>
          <w:p>
            <w:pPr>
              <w:pStyle w:val="TableContents"/>
              <w:bidi w:val="0"/>
              <w:spacing w:before="1" w:after="1"/>
              <w:ind w:left="0" w:right="0" w:hanging="0"/>
              <w:jc w:val="left"/>
              <w:rPr/>
            </w:pPr>
            <w:r>
              <w:rPr/>
              <w:t>​</w:t>
            </w:r>
          </w:p>
        </w:tc>
        <w:tc>
          <w:tcPr>
            <w:tcW w:w="229" w:type="dxa"/>
            <w:tcBorders/>
            <w:vAlign w:val="center"/>
          </w:tcPr>
          <w:p>
            <w:pPr>
              <w:pStyle w:val="TableContents"/>
              <w:bidi w:val="0"/>
              <w:spacing w:before="1" w:after="1"/>
              <w:ind w:left="0" w:right="0" w:hanging="0"/>
              <w:jc w:val="left"/>
              <w:rPr/>
            </w:pPr>
            <w:r>
              <w:rPr/>
              <w:t>​</w:t>
            </w:r>
          </w:p>
        </w:tc>
        <w:tc>
          <w:tcPr>
            <w:tcW w:w="867" w:type="dxa"/>
            <w:tcBorders/>
            <w:vAlign w:val="center"/>
          </w:tcPr>
          <w:p>
            <w:pPr>
              <w:pStyle w:val="TableContents"/>
              <w:bidi w:val="0"/>
              <w:spacing w:before="1" w:after="1"/>
              <w:ind w:left="0" w:right="0" w:hanging="0"/>
              <w:jc w:val="right"/>
              <w:rPr/>
            </w:pPr>
            <w:r>
              <w:rPr/>
              <w:t>​</w:t>
            </w:r>
          </w:p>
        </w:tc>
      </w:tr>
      <w:tr>
        <w:trPr/>
        <w:tc>
          <w:tcPr>
            <w:tcW w:w="32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Balance at June 30, 2026</w:t>
            </w:r>
          </w:p>
        </w:tc>
        <w:tc>
          <w:tcPr>
            <w:tcW w:w="346" w:type="dxa"/>
            <w:tcBorders/>
            <w:shd w:fill="CCEEFF" w:val="clear"/>
            <w:vAlign w:val="center"/>
          </w:tcPr>
          <w:p>
            <w:pPr>
              <w:pStyle w:val="TableContents"/>
              <w:bidi w:val="0"/>
              <w:spacing w:before="1" w:after="1"/>
              <w:ind w:left="0" w:right="0" w:hanging="0"/>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336,470</w:t>
            </w:r>
          </w:p>
        </w:tc>
        <w:tc>
          <w:tcPr>
            <w:tcW w:w="346" w:type="dxa"/>
            <w:tcBorders/>
            <w:shd w:fill="CCEEFF" w:val="clear"/>
            <w:vAlign w:val="center"/>
          </w:tcPr>
          <w:p>
            <w:pPr>
              <w:pStyle w:val="TableContents"/>
              <w:bidi w:val="0"/>
              <w:spacing w:before="1" w:after="1"/>
              <w:ind w:left="0" w:right="0" w:hanging="0"/>
              <w:jc w:val="left"/>
              <w:rPr/>
            </w:pPr>
            <w:r>
              <w:rPr/>
              <w:t>​</w:t>
            </w:r>
          </w:p>
        </w:tc>
        <w:tc>
          <w:tcPr>
            <w:tcW w:w="400"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115"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19.33</w:t>
            </w:r>
          </w:p>
        </w:tc>
        <w:tc>
          <w:tcPr>
            <w:tcW w:w="346" w:type="dxa"/>
            <w:tcBorders/>
            <w:shd w:fill="CCEEFF" w:val="clear"/>
            <w:vAlign w:val="center"/>
          </w:tcPr>
          <w:p>
            <w:pPr>
              <w:pStyle w:val="TableContents"/>
              <w:bidi w:val="0"/>
              <w:spacing w:before="1" w:after="1"/>
              <w:ind w:left="0" w:right="0" w:hanging="0"/>
              <w:jc w:val="left"/>
              <w:rPr/>
            </w:pPr>
            <w:r>
              <w:rPr/>
              <w:t>​</w:t>
            </w:r>
          </w:p>
        </w:tc>
        <w:tc>
          <w:tcPr>
            <w:tcW w:w="229"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67" w:type="dxa"/>
            <w:tcBorders/>
            <w:shd w:fill="CCEEFF" w:val="cle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10,020</w:t>
            </w:r>
          </w:p>
        </w:tc>
      </w:tr>
    </w:tbl>
    <w:p>
      <w:pPr>
        <w:pStyle w:val="TextBody"/>
        <w:pBdr/>
        <w:shd w:fill="FFFFFF" w:val="clear"/>
        <w:bidi w:val="0"/>
        <w:spacing w:before="100" w:after="100"/>
        <w:ind w:left="0" w:right="0" w:hanging="0"/>
        <w:jc w:val="both"/>
        <w:rPr/>
      </w:pPr>
      <w:r>
        <w:rPr/>
        <w:t>​</w:t>
      </w:r>
    </w:p>
    <w:tbl>
      <w:tblPr>
        <w:tblW w:w="9557" w:type="dxa"/>
        <w:jc w:val="left"/>
        <w:tblInd w:w="0" w:type="dxa"/>
        <w:shd w:fill="FFFFFF" w:val="clear"/>
        <w:tblLayout w:type="fixed"/>
        <w:tblCellMar>
          <w:top w:w="0" w:type="dxa"/>
          <w:left w:w="0" w:type="dxa"/>
          <w:bottom w:w="0" w:type="dxa"/>
          <w:right w:w="0" w:type="dxa"/>
        </w:tblCellMar>
      </w:tblPr>
      <w:tblGrid>
        <w:gridCol w:w="331"/>
        <w:gridCol w:w="9226"/>
      </w:tblGrid>
      <w:tr>
        <w:trPr/>
        <w:tc>
          <w:tcPr>
            <w:tcW w:w="331"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226"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 aggregate intrinsic value of PSUs outstanding was based on our closing stock price on the last trading day of the period. </w:t>
            </w:r>
          </w:p>
        </w:tc>
      </w:tr>
    </w:tbl>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Employee Stock Purchase Plan</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Our employee stock purchase plan (“ESPP”), which was approved by our Board of Directors on April 27, 2016, and by our stockholders on June 20, 2016, allows participating employees to purchase shares of our common stock at a discount through payroll deductions. The ESPP is available to all of our employees and employees of participating subsidiaries. Participating employees may purchase common stock, on a voluntary after-tax basis, at a price equal to 85%</w:t>
      </w:r>
      <w:r>
        <w:rPr>
          <w:rFonts w:ascii="Times New Roman;Times;serif" w:hAnsi="Times New Roman;Times;serif"/>
          <w:sz w:val="20"/>
        </w:rPr>
        <w:t xml:space="preserve"> </w:t>
      </w:r>
      <w:r>
        <w:rPr>
          <w:rFonts w:ascii="Arial;Helvetica;sans-serif" w:hAnsi="Arial;Helvetica;sans-serif"/>
          <w:sz w:val="20"/>
        </w:rPr>
        <w:t>of the lower of the closing market price per share of our common stock on the first or last trading day of each stock purchase period. The ESPP provides for six-month</w:t>
      </w:r>
      <w:r>
        <w:rPr>
          <w:rFonts w:ascii="Times New Roman;Times;serif" w:hAnsi="Times New Roman;Times;serif"/>
          <w:sz w:val="20"/>
        </w:rPr>
        <w:t xml:space="preserve"> </w:t>
      </w:r>
      <w:r>
        <w:rPr>
          <w:rFonts w:ascii="Arial;Helvetica;sans-serif" w:hAnsi="Arial;Helvetica;sans-serif"/>
          <w:sz w:val="20"/>
        </w:rPr>
        <w:t xml:space="preserve">purchase periods, beginning on May 16 and November 16 of each calendar year. </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A total of 1,600,000</w:t>
      </w:r>
      <w:r>
        <w:rPr>
          <w:rFonts w:ascii="Times New Roman;Times;serif" w:hAnsi="Times New Roman;Times;serif"/>
          <w:sz w:val="20"/>
        </w:rPr>
        <w:t xml:space="preserve"> </w:t>
      </w:r>
      <w:r>
        <w:rPr>
          <w:rFonts w:ascii="Arial;Helvetica;sans-serif" w:hAnsi="Arial;Helvetica;sans-serif"/>
          <w:sz w:val="20"/>
        </w:rPr>
        <w:t>shares of common stock was initially reserved for issuance under the ESPP. This share reserve was automatically supplemented each January 1, commencing in 2017 and ending on and including January 1, 2026, by an amount equal to the least of (a) 1%</w:t>
      </w:r>
      <w:r>
        <w:rPr>
          <w:rFonts w:ascii="Times New Roman;Times;serif" w:hAnsi="Times New Roman;Times;serif"/>
          <w:sz w:val="20"/>
        </w:rPr>
        <w:t xml:space="preserve"> </w:t>
      </w:r>
      <w:r>
        <w:rPr>
          <w:rFonts w:ascii="Arial;Helvetica;sans-serif" w:hAnsi="Arial;Helvetica;sans-serif"/>
          <w:sz w:val="20"/>
        </w:rPr>
        <w:t>of the shares of our common stock outstanding on the immediately preceding December 31, (b) 500,000</w:t>
      </w:r>
      <w:r>
        <w:rPr>
          <w:rFonts w:ascii="Times New Roman;Times;serif" w:hAnsi="Times New Roman;Times;serif"/>
          <w:sz w:val="20"/>
        </w:rPr>
        <w:t xml:space="preserve"> </w:t>
      </w:r>
      <w:r>
        <w:rPr>
          <w:rFonts w:ascii="Arial;Helvetica;sans-serif" w:hAnsi="Arial;Helvetica;sans-serif"/>
          <w:sz w:val="20"/>
        </w:rPr>
        <w:t>shares or (c) such lesser amount as our Board of Directors may determine. Pursuant to the automatic increase feature of the ESPP, 224,381</w:t>
      </w:r>
      <w:r>
        <w:rPr>
          <w:rFonts w:ascii="Times New Roman;Times;serif" w:hAnsi="Times New Roman;Times;serif"/>
          <w:sz w:val="20"/>
        </w:rPr>
        <w:t xml:space="preserve"> </w:t>
      </w:r>
      <w:r>
        <w:rPr>
          <w:rFonts w:ascii="Arial;Helvetica;sans-serif" w:hAnsi="Arial;Helvetica;sans-serif"/>
          <w:sz w:val="20"/>
        </w:rPr>
        <w:t>shares were added as available for issuance thereunder on January 1, 2026 and 240,780</w:t>
      </w:r>
      <w:r>
        <w:rPr>
          <w:rFonts w:ascii="Times New Roman;Times;serif" w:hAnsi="Times New Roman;Times;serif"/>
          <w:sz w:val="20"/>
        </w:rPr>
        <w:t xml:space="preserve"> </w:t>
      </w:r>
      <w:r>
        <w:rPr>
          <w:rFonts w:ascii="Arial;Helvetica;sans-serif" w:hAnsi="Arial;Helvetica;sans-serif"/>
          <w:sz w:val="20"/>
        </w:rPr>
        <w:t>shares were added as available for issuance thereunder on January 1, 2025. As of June 30, 2026, 1,691,730</w:t>
      </w:r>
      <w:r>
        <w:rPr>
          <w:rFonts w:ascii="Times New Roman;Times;serif" w:hAnsi="Times New Roman;Times;serif"/>
          <w:sz w:val="20"/>
        </w:rPr>
        <w:t xml:space="preserve"> </w:t>
      </w:r>
      <w:r>
        <w:rPr>
          <w:rFonts w:ascii="Arial;Helvetica;sans-serif" w:hAnsi="Arial;Helvetica;sans-serif"/>
          <w:sz w:val="20"/>
        </w:rPr>
        <w:t>shares were available for future issuance under the ESPP. We recognized stock-based compensation expense associated with the ESPP of $0.2</w:t>
      </w:r>
      <w:r>
        <w:rPr>
          <w:rFonts w:ascii="Times New Roman;Times;serif" w:hAnsi="Times New Roman;Times;serif"/>
          <w:sz w:val="20"/>
        </w:rPr>
        <w:t xml:space="preserve"> </w:t>
      </w:r>
      <w:r>
        <w:rPr>
          <w:rFonts w:ascii="Arial;Helvetica;sans-serif" w:hAnsi="Arial;Helvetica;sans-serif"/>
          <w:sz w:val="20"/>
        </w:rPr>
        <w:t>million for each of the three months ended June 30, 2026 and 2025, and $0.3</w:t>
      </w:r>
      <w:r>
        <w:rPr>
          <w:rFonts w:ascii="Times New Roman;Times;serif" w:hAnsi="Times New Roman;Times;serif"/>
          <w:sz w:val="20"/>
        </w:rPr>
        <w:t xml:space="preserve"> </w:t>
      </w:r>
      <w:r>
        <w:rPr>
          <w:rFonts w:ascii="Arial;Helvetica;sans-serif" w:hAnsi="Arial;Helvetica;sans-serif"/>
          <w:sz w:val="20"/>
        </w:rPr>
        <w:t>million and $0.4</w:t>
      </w:r>
      <w:r>
        <w:rPr>
          <w:rFonts w:ascii="Times New Roman;Times;serif" w:hAnsi="Times New Roman;Times;serif"/>
          <w:sz w:val="20"/>
        </w:rPr>
        <w:t xml:space="preserve"> </w:t>
      </w:r>
      <w:r>
        <w:rPr>
          <w:rFonts w:ascii="Arial;Helvetica;sans-serif" w:hAnsi="Arial;Helvetica;sans-serif"/>
          <w:sz w:val="20"/>
        </w:rPr>
        <w:t>million for the six months ended June 30, 2026 and 2025, respectively.</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b/>
          <w:sz w:val="20"/>
        </w:rPr>
      </w:pPr>
      <w:bookmarkStart w:id="962" w:name="Tc_FlnwBA4wVky8yFMoKvUJkw_8_11"/>
      <w:bookmarkStart w:id="963" w:name="Tc_w2DKa7DFEUC1CdrbI0riCA_8_8"/>
      <w:bookmarkStart w:id="964" w:name="Tc_SEIJ1cUhJkOVHXEt1lmDNQ_8_5"/>
      <w:bookmarkStart w:id="965" w:name="Tc_rKZPAVJ8CkCu4YxtlOT7iw_8_2"/>
      <w:bookmarkStart w:id="966" w:name="Tc_lH2PS_KVBE-yR08ylrvXlQ_8_0"/>
      <w:bookmarkStart w:id="967" w:name="Tc_Il4ZClywNUGp7N7JVKgc6A_7_0"/>
      <w:bookmarkStart w:id="968" w:name="Tc_GFBJsSQSfEG9yhKScNPuSA_6_0"/>
      <w:bookmarkStart w:id="969" w:name="Tc_RE_3Sk5DKESQUn2QzZYf_g_5_0"/>
      <w:bookmarkStart w:id="970" w:name="Tc_RGR0hnRVK0yse5JOEFThzA_4_11"/>
      <w:bookmarkStart w:id="971" w:name="Tc_xPJWw1LMKUOn4w-ocqBsWg_4_8"/>
      <w:bookmarkStart w:id="972" w:name="Tc_12GdKvsykUq_r44WNzk2Vw_4_5"/>
      <w:bookmarkStart w:id="973" w:name="Tc_bqGwrY7g70-BZO4QQv0o9Q_4_2"/>
      <w:bookmarkStart w:id="974" w:name="Tc_whWLf8aXn0uyLDy5qLni_w_4_0"/>
      <w:bookmarkStart w:id="975" w:name="Tc_pCqBhCIWzEua6VpJWIDX6w_3_11"/>
      <w:bookmarkStart w:id="976" w:name="Tc_md_2abjAWky6DEF5MvVRsA_3_8"/>
      <w:bookmarkStart w:id="977" w:name="Tc_NnKMcSz8G0SRIDH6c_4BkQ_3_5"/>
      <w:bookmarkStart w:id="978" w:name="Tc_7MFqvwQYmUGo1o2hsHzDhQ_3_2"/>
      <w:bookmarkStart w:id="979" w:name="Tc_zHGXs93ovUmyoNjO4G7XAA_3_0"/>
      <w:bookmarkStart w:id="980" w:name="Tc_3S2ALbVKpUeqGYsBdSnxSQ_2_8"/>
      <w:bookmarkStart w:id="981" w:name="Tc_uqpPGZJtuEq_HLAjQiEbTA_2_2"/>
      <w:bookmarkStart w:id="982" w:name="Tc_r7sf_PdcY0G8U5EbQMfGuw_1_8"/>
      <w:bookmarkStart w:id="983" w:name="Tc_SZCElWytZ06ken4Rc5mcGA_1_2"/>
      <w:bookmarkStart w:id="984" w:name="Tc_WWUbZTAQw02VAnMQn6cDcw_12_0"/>
      <w:bookmarkStart w:id="985" w:name="Tc_W_qKapWMsEOPZ89GGvcBDA_11_0"/>
      <w:bookmarkStart w:id="986" w:name="Tc_HKf28ghzoUS9PSDqP7Y21A_10_0"/>
      <w:bookmarkStart w:id="987" w:name="Tc_x07rvaf_zEWIQj3gJHvjqA_9_0"/>
      <w:bookmarkStart w:id="988" w:name="Tc_Qqy5AzsmdEGe2w4_T5gdkg_7_11"/>
      <w:bookmarkStart w:id="989" w:name="Tc_khtz-ZYi1EKkGPopOwlWBA_7_8"/>
      <w:bookmarkStart w:id="990" w:name="Tc_esTO-wEOU0GZT4oD_Mqi_g_7_5"/>
      <w:bookmarkStart w:id="991" w:name="Tc_b2_gysXkMEqq_U9--VXRbw_7_2"/>
      <w:bookmarkStart w:id="992" w:name="Tc_32_yORV3HUWvPP7OMF6UaQ_7_0"/>
      <w:bookmarkStart w:id="993" w:name="Tc_GW9SBylAWkyDXSSR2yg6wA_6_0"/>
      <w:bookmarkStart w:id="994" w:name="Tc_Ra0XBHUpA0e7F88V3qVi3g_5_11"/>
      <w:bookmarkStart w:id="995" w:name="Tc_Alu4e6b4PUef6yZYIvut1A_5_8"/>
      <w:bookmarkStart w:id="996" w:name="Tc_lBxQ62YVN0yVBZSDqsxVHA_5_5"/>
      <w:bookmarkStart w:id="997" w:name="Tc_059GbXG6JkWCYvUazqqpmw_5_2"/>
      <w:bookmarkStart w:id="998" w:name="Tc_-T2ykYE3wUCyVk-XDmY7og_5_0"/>
      <w:bookmarkStart w:id="999" w:name="Tc_g8tz5OgNEUWoLwHaYI8rGA_4_0"/>
      <w:bookmarkStart w:id="1000" w:name="Tc_XgTRl8Sgo0uGO8Z7gRTN7w_3_11"/>
      <w:bookmarkStart w:id="1001" w:name="Tc_swYEcAPzBEqe3OluXhu4qg_3_8"/>
      <w:bookmarkStart w:id="1002" w:name="Tc_PRNXiRXRS0euZy9okHlpYg_3_5"/>
      <w:bookmarkStart w:id="1003" w:name="Tc_QvTe8_A9W0e8g6iaS0NgBw_3_2"/>
      <w:bookmarkStart w:id="1004" w:name="Tc_zzHvpCP1dUK-Bj3B-oz3ng_3_0"/>
      <w:bookmarkStart w:id="1005" w:name="Tc_qhAIeBI580iPrQYvfVEkjg_2_8"/>
      <w:bookmarkStart w:id="1006" w:name="Tc_clhK_uHhdkuVzlvmNVfovw_2_2"/>
      <w:bookmarkStart w:id="1007" w:name="Tc_4TWwBS28C0KAPC-zAQ5SVg_1_8"/>
      <w:bookmarkStart w:id="1008" w:name="Tc_C_dnxSRcxkaq9Mx5Hk8k-A_1_2"/>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r>
        <w:rPr>
          <w:rFonts w:ascii="Arial;Helvetica;sans-serif" w:hAnsi="Arial;Helvetica;sans-serif"/>
          <w:b/>
          <w:sz w:val="20"/>
        </w:rPr>
        <w:t>Note 11. Revenue</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derive our revenue from the sale and rental of our products to our customers in the United States. The following table presents our revenue, inclusive of sales and rental revenue, disaggregated by product line:</w:t>
      </w:r>
    </w:p>
    <w:p>
      <w:pPr>
        <w:pStyle w:val="TextBody"/>
        <w:bidi w:val="0"/>
        <w:spacing w:before="0" w:after="0"/>
        <w:ind w:left="0" w:right="0" w:hanging="0"/>
        <w:jc w:val="left"/>
        <w:rPr/>
      </w:pPr>
      <w:r>
        <w:rPr/>
        <w:t>​</w:t>
      </w:r>
    </w:p>
    <w:tbl>
      <w:tblPr>
        <w:tblW w:w="7319" w:type="dxa"/>
        <w:jc w:val="left"/>
        <w:tblInd w:w="0" w:type="dxa"/>
        <w:tblLayout w:type="fixed"/>
        <w:tblCellMar>
          <w:top w:w="0" w:type="dxa"/>
          <w:left w:w="0" w:type="dxa"/>
          <w:bottom w:w="0" w:type="dxa"/>
          <w:right w:w="0" w:type="dxa"/>
        </w:tblCellMar>
      </w:tblPr>
      <w:tblGrid>
        <w:gridCol w:w="2656"/>
        <w:gridCol w:w="346"/>
        <w:gridCol w:w="225"/>
        <w:gridCol w:w="737"/>
        <w:gridCol w:w="116"/>
        <w:gridCol w:w="225"/>
        <w:gridCol w:w="737"/>
        <w:gridCol w:w="109"/>
        <w:gridCol w:w="211"/>
        <w:gridCol w:w="796"/>
        <w:gridCol w:w="109"/>
        <w:gridCol w:w="211"/>
        <w:gridCol w:w="84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86560" cy="175895"/>
                      <wp:effectExtent l="0" t="0" r="0" b="0"/>
                      <wp:wrapNone/>
                      <wp:docPr id="161" name="Frame161"/>
                      <a:graphic xmlns:a="http://schemas.openxmlformats.org/drawingml/2006/main">
                        <a:graphicData uri="http://schemas.microsoft.com/office/word/2010/wordprocessingShape">
                          <wps:wsp>
                            <wps:cNvSpPr txBox="1"/>
                            <wps:spPr>
                              <a:xfrm>
                                <a:off x="0" y="0"/>
                                <a:ext cx="1686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895"/>
                      <wp:effectExtent l="0" t="0" r="0" b="0"/>
                      <wp:wrapNone/>
                      <wp:docPr id="162" name="Frame16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2875" cy="175895"/>
                      <wp:effectExtent l="0" t="0" r="0" b="0"/>
                      <wp:wrapNone/>
                      <wp:docPr id="163" name="Frame163"/>
                      <a:graphic xmlns:a="http://schemas.openxmlformats.org/drawingml/2006/main">
                        <a:graphicData uri="http://schemas.microsoft.com/office/word/2010/wordprocessingShape">
                          <wps:wsp>
                            <wps:cNvSpPr txBox="1"/>
                            <wps:spPr>
                              <a:xfrm>
                                <a:off x="0" y="0"/>
                                <a:ext cx="1428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67995" cy="175895"/>
                      <wp:effectExtent l="0" t="0" r="0" b="0"/>
                      <wp:wrapNone/>
                      <wp:docPr id="164" name="Frame164"/>
                      <a:graphic xmlns:a="http://schemas.openxmlformats.org/drawingml/2006/main">
                        <a:graphicData uri="http://schemas.microsoft.com/office/word/2010/wordprocessingShape">
                          <wps:wsp>
                            <wps:cNvSpPr txBox="1"/>
                            <wps:spPr>
                              <a:xfrm>
                                <a:off x="0" y="0"/>
                                <a:ext cx="4679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3660" cy="175895"/>
                      <wp:effectExtent l="0" t="0" r="0" b="0"/>
                      <wp:wrapNone/>
                      <wp:docPr id="165" name="Frame165"/>
                      <a:graphic xmlns:a="http://schemas.openxmlformats.org/drawingml/2006/main">
                        <a:graphicData uri="http://schemas.microsoft.com/office/word/2010/wordprocessingShape">
                          <wps:wsp>
                            <wps:cNvSpPr txBox="1"/>
                            <wps:spPr>
                              <a:xfrm>
                                <a:off x="0" y="0"/>
                                <a:ext cx="73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2875" cy="175895"/>
                      <wp:effectExtent l="0" t="0" r="0" b="0"/>
                      <wp:wrapNone/>
                      <wp:docPr id="166" name="Frame166"/>
                      <a:graphic xmlns:a="http://schemas.openxmlformats.org/drawingml/2006/main">
                        <a:graphicData uri="http://schemas.microsoft.com/office/word/2010/wordprocessingShape">
                          <wps:wsp>
                            <wps:cNvSpPr txBox="1"/>
                            <wps:spPr>
                              <a:xfrm>
                                <a:off x="0" y="0"/>
                                <a:ext cx="1428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67995" cy="175895"/>
                      <wp:effectExtent l="0" t="0" r="0" b="0"/>
                      <wp:wrapNone/>
                      <wp:docPr id="167" name="Frame167"/>
                      <a:graphic xmlns:a="http://schemas.openxmlformats.org/drawingml/2006/main">
                        <a:graphicData uri="http://schemas.microsoft.com/office/word/2010/wordprocessingShape">
                          <wps:wsp>
                            <wps:cNvSpPr txBox="1"/>
                            <wps:spPr>
                              <a:xfrm>
                                <a:off x="0" y="0"/>
                                <a:ext cx="4679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895"/>
                      <wp:effectExtent l="0" t="0" r="0" b="0"/>
                      <wp:wrapNone/>
                      <wp:docPr id="168" name="Frame16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895"/>
                      <wp:effectExtent l="0" t="0" r="0" b="0"/>
                      <wp:wrapNone/>
                      <wp:docPr id="169" name="Frame16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05460" cy="175895"/>
                      <wp:effectExtent l="0" t="0" r="0" b="0"/>
                      <wp:wrapNone/>
                      <wp:docPr id="170" name="Frame170"/>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895"/>
                      <wp:effectExtent l="0" t="0" r="0" b="0"/>
                      <wp:wrapNone/>
                      <wp:docPr id="171" name="Frame17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895"/>
                      <wp:effectExtent l="0" t="0" r="0" b="0"/>
                      <wp:wrapNone/>
                      <wp:docPr id="172" name="Frame17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34035" cy="175895"/>
                      <wp:effectExtent l="0" t="0" r="0" b="0"/>
                      <wp:wrapNone/>
                      <wp:docPr id="173" name="Frame173"/>
                      <a:graphic xmlns:a="http://schemas.openxmlformats.org/drawingml/2006/main">
                        <a:graphicData uri="http://schemas.microsoft.com/office/word/2010/wordprocessingShape">
                          <wps:wsp>
                            <wps:cNvSpPr txBox="1"/>
                            <wps:spPr>
                              <a:xfrm>
                                <a:off x="0" y="0"/>
                                <a:ext cx="534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40"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109" w:type="dxa"/>
            <w:tcBorders/>
            <w:vAlign w:val="center"/>
          </w:tcPr>
          <w:p>
            <w:pPr>
              <w:pStyle w:val="TableContents"/>
              <w:bidi w:val="0"/>
              <w:spacing w:before="1" w:after="1"/>
              <w:ind w:left="0" w:right="0" w:hanging="0"/>
              <w:jc w:val="left"/>
              <w:rPr/>
            </w:pPr>
            <w:r>
              <w:rPr/>
              <w:t>​</w:t>
            </w:r>
          </w:p>
        </w:tc>
        <w:tc>
          <w:tcPr>
            <w:tcW w:w="2168"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Six Months Ended</w:t>
            </w:r>
          </w:p>
        </w:tc>
      </w:tr>
      <w:tr>
        <w:trPr/>
        <w:tc>
          <w:tcPr>
            <w:tcW w:w="265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4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w:t>
            </w:r>
          </w:p>
        </w:tc>
        <w:tc>
          <w:tcPr>
            <w:tcW w:w="109" w:type="dxa"/>
            <w:tcBorders/>
            <w:vAlign w:val="center"/>
          </w:tcPr>
          <w:p>
            <w:pPr>
              <w:pStyle w:val="TableContents"/>
              <w:bidi w:val="0"/>
              <w:spacing w:before="1" w:after="1"/>
              <w:ind w:left="0" w:right="0" w:hanging="0"/>
              <w:jc w:val="left"/>
              <w:rPr/>
            </w:pPr>
            <w:r>
              <w:rPr/>
              <w:t>​</w:t>
            </w:r>
          </w:p>
        </w:tc>
        <w:tc>
          <w:tcPr>
            <w:tcW w:w="216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w:t>
            </w:r>
          </w:p>
        </w:tc>
      </w:tr>
      <w:tr>
        <w:trPr/>
        <w:tc>
          <w:tcPr>
            <w:tcW w:w="265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16" w:type="dxa"/>
            <w:tcBorders/>
            <w:vAlign w:val="center"/>
          </w:tcPr>
          <w:p>
            <w:pPr>
              <w:pStyle w:val="TableContents"/>
              <w:bidi w:val="0"/>
              <w:spacing w:before="1" w:after="1"/>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1"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1"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656" w:type="dxa"/>
            <w:tcBorders/>
            <w:shd w:fill="CCEEFF" w:val="clear"/>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Revenue</w:t>
            </w:r>
          </w:p>
        </w:tc>
        <w:tc>
          <w:tcPr>
            <w:tcW w:w="346" w:type="dxa"/>
            <w:tcBorders/>
            <w:shd w:fill="CCEEFF" w:val="clear"/>
            <w:vAlign w:val="center"/>
          </w:tcPr>
          <w:p>
            <w:pPr>
              <w:pStyle w:val="TableContents"/>
              <w:bidi w:val="0"/>
              <w:spacing w:before="1" w:after="1"/>
              <w:ind w:left="0" w:right="0" w:hanging="0"/>
              <w:jc w:val="center"/>
              <w:rPr/>
            </w:pPr>
            <w:r>
              <w:rPr/>
              <w:t>​</w:t>
            </w:r>
          </w:p>
        </w:tc>
        <w:tc>
          <w:tcPr>
            <w:tcW w:w="225" w:type="dxa"/>
            <w:tcBorders/>
            <w:shd w:fill="CCEEFF" w:val="clear"/>
            <w:vAlign w:val="center"/>
          </w:tcPr>
          <w:p>
            <w:pPr>
              <w:pStyle w:val="TableContents"/>
              <w:bidi w:val="0"/>
              <w:spacing w:before="1" w:after="1"/>
              <w:ind w:left="0" w:right="0" w:hanging="0"/>
              <w:jc w:val="center"/>
              <w:rPr/>
            </w:pPr>
            <w:r>
              <w:rPr/>
              <w:t>​</w:t>
            </w:r>
          </w:p>
        </w:tc>
        <w:tc>
          <w:tcPr>
            <w:tcW w:w="737" w:type="dxa"/>
            <w:tcBorders/>
            <w:shd w:fill="CCEEFF" w:val="clear"/>
            <w:vAlign w:val="center"/>
          </w:tcPr>
          <w:p>
            <w:pPr>
              <w:pStyle w:val="TableContents"/>
              <w:bidi w:val="0"/>
              <w:spacing w:before="1" w:after="1"/>
              <w:ind w:left="0" w:right="0" w:hanging="0"/>
              <w:jc w:val="center"/>
              <w:rPr/>
            </w:pPr>
            <w:r>
              <w:rPr/>
              <w:t>​</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center"/>
              <w:rPr/>
            </w:pPr>
            <w:r>
              <w:rPr/>
              <w:t>​</w:t>
            </w:r>
          </w:p>
        </w:tc>
        <w:tc>
          <w:tcPr>
            <w:tcW w:w="737" w:type="dxa"/>
            <w:tcBorders/>
            <w:shd w:fill="CCEEFF" w:val="clear"/>
            <w:vAlign w:val="center"/>
          </w:tcPr>
          <w:p>
            <w:pPr>
              <w:pStyle w:val="TableContents"/>
              <w:bidi w:val="0"/>
              <w:spacing w:before="1" w:after="1"/>
              <w:ind w:left="0" w:right="0" w:hanging="0"/>
              <w:jc w:val="center"/>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796" w:type="dxa"/>
            <w:tcBorders/>
            <w:shd w:fill="CCEEFF" w:val="clear"/>
            <w:vAlign w:val="center"/>
          </w:tcPr>
          <w:p>
            <w:pPr>
              <w:pStyle w:val="TableContents"/>
              <w:bidi w:val="0"/>
              <w:spacing w:before="1" w:after="1"/>
              <w:ind w:left="0" w:right="0" w:hanging="0"/>
              <w:jc w:val="center"/>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841" w:type="dxa"/>
            <w:tcBorders/>
            <w:shd w:fill="CCEEFF" w:val="clear"/>
            <w:vAlign w:val="center"/>
          </w:tcPr>
          <w:p>
            <w:pPr>
              <w:pStyle w:val="TableContents"/>
              <w:bidi w:val="0"/>
              <w:spacing w:before="1" w:after="1"/>
              <w:ind w:left="0" w:right="0" w:hanging="0"/>
              <w:jc w:val="center"/>
              <w:rPr/>
            </w:pPr>
            <w:r>
              <w:rPr/>
              <w:t>​</w:t>
            </w:r>
          </w:p>
        </w:tc>
      </w:tr>
      <w:tr>
        <w:trPr/>
        <w:tc>
          <w:tcPr>
            <w:tcW w:w="265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Lymphedema products</w:t>
            </w:r>
          </w:p>
        </w:tc>
        <w:tc>
          <w:tcPr>
            <w:tcW w:w="346" w:type="dxa"/>
            <w:tcBorders/>
            <w:vAlign w:val="center"/>
          </w:tcPr>
          <w:p>
            <w:pPr>
              <w:pStyle w:val="TableContents"/>
              <w:bidi w:val="0"/>
              <w:spacing w:before="1" w:after="1"/>
              <w:ind w:left="0" w:right="0" w:hanging="0"/>
              <w:jc w:val="left"/>
              <w:rPr/>
            </w:pPr>
            <w:r>
              <w:rPr/>
              <w:t>​</w:t>
            </w:r>
          </w:p>
        </w:tc>
        <w:tc>
          <w:tcPr>
            <w:tcW w:w="225"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73,630</w:t>
            </w:r>
          </w:p>
        </w:tc>
        <w:tc>
          <w:tcPr>
            <w:tcW w:w="116" w:type="dxa"/>
            <w:tcBorders/>
            <w:vAlign w:val="center"/>
          </w:tcPr>
          <w:p>
            <w:pPr>
              <w:pStyle w:val="TableContents"/>
              <w:bidi w:val="0"/>
              <w:spacing w:before="1" w:after="1"/>
              <w:ind w:left="0" w:right="0" w:hanging="0"/>
              <w:jc w:val="left"/>
              <w:rPr/>
            </w:pPr>
            <w:r>
              <w:rPr/>
              <w:t>​</w:t>
            </w:r>
          </w:p>
        </w:tc>
        <w:tc>
          <w:tcPr>
            <w:tcW w:w="225"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65,969</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135,851</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116,524</w:t>
            </w:r>
          </w:p>
        </w:tc>
      </w:tr>
      <w:tr>
        <w:trPr/>
        <w:tc>
          <w:tcPr>
            <w:tcW w:w="265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Airway clearance products</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12,068</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12,936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25,114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23,649</w:t>
            </w:r>
          </w:p>
        </w:tc>
      </w:tr>
      <w:tr>
        <w:trPr/>
        <w:tc>
          <w:tcPr>
            <w:tcW w:w="265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1"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85,698</w:t>
            </w:r>
          </w:p>
        </w:tc>
        <w:tc>
          <w:tcPr>
            <w:tcW w:w="116" w:type="dxa"/>
            <w:tcBorders/>
            <w:vAlign w:val="center"/>
          </w:tcPr>
          <w:p>
            <w:pPr>
              <w:pStyle w:val="TableContents"/>
              <w:bidi w:val="0"/>
              <w:spacing w:before="1"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78,905</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160,965</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41"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140,173</w:t>
            </w:r>
          </w:p>
        </w:tc>
      </w:tr>
      <w:tr>
        <w:trPr/>
        <w:tc>
          <w:tcPr>
            <w:tcW w:w="2656"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w:t>
            </w:r>
          </w:p>
        </w:tc>
        <w:tc>
          <w:tcPr>
            <w:tcW w:w="737" w:type="dxa"/>
            <w:tcBorders/>
            <w:shd w:fill="CCEEFF" w:val="clear"/>
            <w:vAlign w:val="center"/>
          </w:tcPr>
          <w:p>
            <w:pPr>
              <w:pStyle w:val="TableContents"/>
              <w:bidi w:val="0"/>
              <w:spacing w:before="1" w:after="1"/>
              <w:ind w:left="0" w:right="0" w:hanging="0"/>
              <w:jc w:val="left"/>
              <w:rPr/>
            </w:pPr>
            <w:r>
              <w:rPr/>
              <w:t>​</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w:t>
            </w:r>
          </w:p>
        </w:tc>
        <w:tc>
          <w:tcPr>
            <w:tcW w:w="737"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left"/>
              <w:rPr/>
            </w:pPr>
            <w:r>
              <w:rPr/>
              <w:t>​</w:t>
            </w:r>
          </w:p>
        </w:tc>
      </w:tr>
      <w:tr>
        <w:trPr/>
        <w:tc>
          <w:tcPr>
            <w:tcW w:w="2656" w:type="dxa"/>
            <w:tcBorders/>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Percentage of total revenue</w:t>
            </w:r>
          </w:p>
        </w:tc>
        <w:tc>
          <w:tcPr>
            <w:tcW w:w="346" w:type="dxa"/>
            <w:tcBorders/>
            <w:vAlign w:val="center"/>
          </w:tcPr>
          <w:p>
            <w:pPr>
              <w:pStyle w:val="TableContents"/>
              <w:bidi w:val="0"/>
              <w:spacing w:before="1" w:after="1"/>
              <w:ind w:left="0" w:right="0" w:hanging="0"/>
              <w:jc w:val="left"/>
              <w:rPr/>
            </w:pPr>
            <w:r>
              <w:rPr/>
              <w:t>​</w:t>
            </w:r>
          </w:p>
        </w:tc>
        <w:tc>
          <w:tcPr>
            <w:tcW w:w="225" w:type="dxa"/>
            <w:tcBorders/>
            <w:vAlign w:val="center"/>
          </w:tcPr>
          <w:p>
            <w:pPr>
              <w:pStyle w:val="TableContents"/>
              <w:bidi w:val="0"/>
              <w:spacing w:before="1" w:after="1"/>
              <w:ind w:left="0" w:right="0" w:hanging="0"/>
              <w:jc w:val="center"/>
              <w:rPr/>
            </w:pPr>
            <w:r>
              <w:rPr/>
              <w:t>​</w:t>
            </w:r>
          </w:p>
        </w:tc>
        <w:tc>
          <w:tcPr>
            <w:tcW w:w="737" w:type="dxa"/>
            <w:tcBorders/>
            <w:vAlign w:val="center"/>
          </w:tcPr>
          <w:p>
            <w:pPr>
              <w:pStyle w:val="TableContents"/>
              <w:bidi w:val="0"/>
              <w:spacing w:before="1" w:after="1"/>
              <w:ind w:left="0" w:right="0" w:hanging="0"/>
              <w:jc w:val="center"/>
              <w:rPr/>
            </w:pPr>
            <w:r>
              <w:rPr/>
              <w:t>​</w:t>
            </w:r>
          </w:p>
        </w:tc>
        <w:tc>
          <w:tcPr>
            <w:tcW w:w="116" w:type="dxa"/>
            <w:tcBorders/>
            <w:vAlign w:val="center"/>
          </w:tcPr>
          <w:p>
            <w:pPr>
              <w:pStyle w:val="TableContents"/>
              <w:bidi w:val="0"/>
              <w:spacing w:before="1" w:after="1"/>
              <w:ind w:left="0" w:right="0" w:hanging="0"/>
              <w:jc w:val="center"/>
              <w:rPr/>
            </w:pPr>
            <w:r>
              <w:rPr/>
              <w:t>​</w:t>
            </w:r>
          </w:p>
        </w:tc>
        <w:tc>
          <w:tcPr>
            <w:tcW w:w="225" w:type="dxa"/>
            <w:tcBorders/>
            <w:vAlign w:val="center"/>
          </w:tcPr>
          <w:p>
            <w:pPr>
              <w:pStyle w:val="TableContents"/>
              <w:bidi w:val="0"/>
              <w:spacing w:before="1" w:after="1"/>
              <w:ind w:left="0" w:right="0" w:hanging="0"/>
              <w:jc w:val="center"/>
              <w:rPr/>
            </w:pPr>
            <w:r>
              <w:rPr/>
              <w:t>​</w:t>
            </w:r>
          </w:p>
        </w:tc>
        <w:tc>
          <w:tcPr>
            <w:tcW w:w="737"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center"/>
              <w:rPr/>
            </w:pPr>
            <w:r>
              <w:rPr/>
              <w:t>​</w:t>
            </w:r>
          </w:p>
        </w:tc>
        <w:tc>
          <w:tcPr>
            <w:tcW w:w="79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841" w:type="dxa"/>
            <w:tcBorders/>
            <w:vAlign w:val="center"/>
          </w:tcPr>
          <w:p>
            <w:pPr>
              <w:pStyle w:val="TableContents"/>
              <w:bidi w:val="0"/>
              <w:spacing w:before="1" w:after="1"/>
              <w:ind w:left="0" w:right="0" w:hanging="0"/>
              <w:jc w:val="center"/>
              <w:rPr/>
            </w:pPr>
            <w:r>
              <w:rPr/>
              <w:t>​</w:t>
            </w:r>
          </w:p>
        </w:tc>
      </w:tr>
      <w:tr>
        <w:trPr/>
        <w:tc>
          <w:tcPr>
            <w:tcW w:w="265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Lymphedema products</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 </w:t>
            </w:r>
          </w:p>
        </w:tc>
        <w:tc>
          <w:tcPr>
            <w:tcW w:w="73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86%</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 </w:t>
            </w:r>
          </w:p>
        </w:tc>
        <w:tc>
          <w:tcPr>
            <w:tcW w:w="73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84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83%</w:t>
            </w:r>
          </w:p>
        </w:tc>
      </w:tr>
      <w:tr>
        <w:trPr/>
        <w:tc>
          <w:tcPr>
            <w:tcW w:w="265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Airway clearance products</w:t>
            </w:r>
          </w:p>
        </w:tc>
        <w:tc>
          <w:tcPr>
            <w:tcW w:w="346" w:type="dxa"/>
            <w:tcBorders/>
            <w:vAlign w:val="center"/>
          </w:tcPr>
          <w:p>
            <w:pPr>
              <w:pStyle w:val="TableContents"/>
              <w:bidi w:val="0"/>
              <w:spacing w:before="1"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14%</w:t>
            </w:r>
          </w:p>
        </w:tc>
        <w:tc>
          <w:tcPr>
            <w:tcW w:w="116" w:type="dxa"/>
            <w:tcBorders/>
            <w:vAlign w:val="center"/>
          </w:tcPr>
          <w:p>
            <w:pPr>
              <w:pStyle w:val="TableContents"/>
              <w:bidi w:val="0"/>
              <w:spacing w:before="1"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17%</w:t>
            </w:r>
          </w:p>
        </w:tc>
      </w:tr>
      <w:tr>
        <w:trPr/>
        <w:tc>
          <w:tcPr>
            <w:tcW w:w="265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37"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100%</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37"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100%</w:t>
            </w:r>
          </w:p>
        </w:tc>
      </w:tr>
    </w:tbl>
    <w:p>
      <w:pPr>
        <w:pStyle w:val="TextBody"/>
        <w:shd w:fill="FFFFFF" w:val="clear"/>
        <w:bidi w:val="0"/>
        <w:spacing w:before="100" w:after="100"/>
        <w:ind w:left="0" w:right="0" w:hanging="0"/>
        <w:jc w:val="both"/>
        <w:rPr/>
      </w:pPr>
      <w:r>
        <w:rPr/>
        <w:t>​</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revenue by channel, inclusive of sales and rental revenue, for the three and six months ended June 30, 2026 and 2025, are summarized in the following table:</w:t>
      </w:r>
    </w:p>
    <w:p>
      <w:pPr>
        <w:pStyle w:val="TextBody"/>
        <w:bidi w:val="0"/>
        <w:spacing w:before="0" w:after="0"/>
        <w:ind w:left="0" w:right="0" w:hanging="0"/>
        <w:jc w:val="left"/>
        <w:rPr/>
      </w:pPr>
      <w:r>
        <w:rPr/>
        <w:t>​</w:t>
      </w:r>
    </w:p>
    <w:tbl>
      <w:tblPr>
        <w:tblW w:w="8219" w:type="dxa"/>
        <w:jc w:val="left"/>
        <w:tblInd w:w="0" w:type="dxa"/>
        <w:tblLayout w:type="fixed"/>
        <w:tblCellMar>
          <w:top w:w="0" w:type="dxa"/>
          <w:left w:w="0" w:type="dxa"/>
          <w:bottom w:w="0" w:type="dxa"/>
          <w:right w:w="0" w:type="dxa"/>
        </w:tblCellMar>
      </w:tblPr>
      <w:tblGrid>
        <w:gridCol w:w="3496"/>
        <w:gridCol w:w="346"/>
        <w:gridCol w:w="225"/>
        <w:gridCol w:w="737"/>
        <w:gridCol w:w="116"/>
        <w:gridCol w:w="225"/>
        <w:gridCol w:w="737"/>
        <w:gridCol w:w="109"/>
        <w:gridCol w:w="211"/>
        <w:gridCol w:w="796"/>
        <w:gridCol w:w="109"/>
        <w:gridCol w:w="211"/>
        <w:gridCol w:w="90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219960" cy="175895"/>
                      <wp:effectExtent l="0" t="0" r="0" b="0"/>
                      <wp:wrapNone/>
                      <wp:docPr id="174" name="Frame174"/>
                      <a:graphic xmlns:a="http://schemas.openxmlformats.org/drawingml/2006/main">
                        <a:graphicData uri="http://schemas.microsoft.com/office/word/2010/wordprocessingShape">
                          <wps:wsp>
                            <wps:cNvSpPr txBox="1"/>
                            <wps:spPr>
                              <a:xfrm>
                                <a:off x="0" y="0"/>
                                <a:ext cx="22199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895"/>
                      <wp:effectExtent l="0" t="0" r="0" b="0"/>
                      <wp:wrapNone/>
                      <wp:docPr id="175" name="Frame17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2875" cy="175895"/>
                      <wp:effectExtent l="0" t="0" r="0" b="0"/>
                      <wp:wrapNone/>
                      <wp:docPr id="176" name="Frame176"/>
                      <a:graphic xmlns:a="http://schemas.openxmlformats.org/drawingml/2006/main">
                        <a:graphicData uri="http://schemas.microsoft.com/office/word/2010/wordprocessingShape">
                          <wps:wsp>
                            <wps:cNvSpPr txBox="1"/>
                            <wps:spPr>
                              <a:xfrm>
                                <a:off x="0" y="0"/>
                                <a:ext cx="1428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67995" cy="175895"/>
                      <wp:effectExtent l="0" t="0" r="0" b="0"/>
                      <wp:wrapNone/>
                      <wp:docPr id="177" name="Frame177"/>
                      <a:graphic xmlns:a="http://schemas.openxmlformats.org/drawingml/2006/main">
                        <a:graphicData uri="http://schemas.microsoft.com/office/word/2010/wordprocessingShape">
                          <wps:wsp>
                            <wps:cNvSpPr txBox="1"/>
                            <wps:spPr>
                              <a:xfrm>
                                <a:off x="0" y="0"/>
                                <a:ext cx="4679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3660" cy="175895"/>
                      <wp:effectExtent l="0" t="0" r="0" b="0"/>
                      <wp:wrapNone/>
                      <wp:docPr id="178" name="Frame178"/>
                      <a:graphic xmlns:a="http://schemas.openxmlformats.org/drawingml/2006/main">
                        <a:graphicData uri="http://schemas.microsoft.com/office/word/2010/wordprocessingShape">
                          <wps:wsp>
                            <wps:cNvSpPr txBox="1"/>
                            <wps:spPr>
                              <a:xfrm>
                                <a:off x="0" y="0"/>
                                <a:ext cx="73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2875" cy="175895"/>
                      <wp:effectExtent l="0" t="0" r="0" b="0"/>
                      <wp:wrapNone/>
                      <wp:docPr id="179" name="Frame179"/>
                      <a:graphic xmlns:a="http://schemas.openxmlformats.org/drawingml/2006/main">
                        <a:graphicData uri="http://schemas.microsoft.com/office/word/2010/wordprocessingShape">
                          <wps:wsp>
                            <wps:cNvSpPr txBox="1"/>
                            <wps:spPr>
                              <a:xfrm>
                                <a:off x="0" y="0"/>
                                <a:ext cx="1428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67995" cy="175895"/>
                      <wp:effectExtent l="0" t="0" r="0" b="0"/>
                      <wp:wrapNone/>
                      <wp:docPr id="180" name="Frame180"/>
                      <a:graphic xmlns:a="http://schemas.openxmlformats.org/drawingml/2006/main">
                        <a:graphicData uri="http://schemas.microsoft.com/office/word/2010/wordprocessingShape">
                          <wps:wsp>
                            <wps:cNvSpPr txBox="1"/>
                            <wps:spPr>
                              <a:xfrm>
                                <a:off x="0" y="0"/>
                                <a:ext cx="4679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895"/>
                      <wp:effectExtent l="0" t="0" r="0" b="0"/>
                      <wp:wrapNone/>
                      <wp:docPr id="181" name="Frame18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895"/>
                      <wp:effectExtent l="0" t="0" r="0" b="0"/>
                      <wp:wrapNone/>
                      <wp:docPr id="182" name="Frame18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05460" cy="175895"/>
                      <wp:effectExtent l="0" t="0" r="0" b="0"/>
                      <wp:wrapNone/>
                      <wp:docPr id="183" name="Frame183"/>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895"/>
                      <wp:effectExtent l="0" t="0" r="0" b="0"/>
                      <wp:wrapNone/>
                      <wp:docPr id="184" name="Frame18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895"/>
                      <wp:effectExtent l="0" t="0" r="0" b="0"/>
                      <wp:wrapNone/>
                      <wp:docPr id="185" name="Frame18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2135" cy="175895"/>
                      <wp:effectExtent l="0" t="0" r="0" b="0"/>
                      <wp:wrapNone/>
                      <wp:docPr id="186" name="Frame186"/>
                      <a:graphic xmlns:a="http://schemas.openxmlformats.org/drawingml/2006/main">
                        <a:graphicData uri="http://schemas.microsoft.com/office/word/2010/wordprocessingShape">
                          <wps:wsp>
                            <wps:cNvSpPr txBox="1"/>
                            <wps:spPr>
                              <a:xfrm>
                                <a:off x="0" y="0"/>
                                <a:ext cx="5721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40"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109" w:type="dxa"/>
            <w:tcBorders/>
            <w:vAlign w:val="center"/>
          </w:tcPr>
          <w:p>
            <w:pPr>
              <w:pStyle w:val="TableContents"/>
              <w:bidi w:val="0"/>
              <w:spacing w:before="1" w:after="1"/>
              <w:ind w:left="0" w:right="0" w:hanging="0"/>
              <w:jc w:val="left"/>
              <w:rPr/>
            </w:pPr>
            <w:r>
              <w:rPr/>
              <w:t>​</w:t>
            </w:r>
          </w:p>
        </w:tc>
        <w:tc>
          <w:tcPr>
            <w:tcW w:w="2228"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Six Months Ended</w:t>
            </w:r>
          </w:p>
        </w:tc>
      </w:tr>
      <w:tr>
        <w:trPr/>
        <w:tc>
          <w:tcPr>
            <w:tcW w:w="34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4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w:t>
            </w:r>
          </w:p>
        </w:tc>
        <w:tc>
          <w:tcPr>
            <w:tcW w:w="109" w:type="dxa"/>
            <w:tcBorders/>
            <w:vAlign w:val="center"/>
          </w:tcPr>
          <w:p>
            <w:pPr>
              <w:pStyle w:val="TableContents"/>
              <w:bidi w:val="0"/>
              <w:spacing w:before="1" w:after="1"/>
              <w:ind w:left="0" w:right="0" w:hanging="0"/>
              <w:jc w:val="left"/>
              <w:rPr/>
            </w:pPr>
            <w:r>
              <w:rPr/>
              <w:t>​</w:t>
            </w:r>
          </w:p>
        </w:tc>
        <w:tc>
          <w:tcPr>
            <w:tcW w:w="222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w:t>
            </w:r>
          </w:p>
        </w:tc>
      </w:tr>
      <w:tr>
        <w:trPr/>
        <w:tc>
          <w:tcPr>
            <w:tcW w:w="349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16" w:type="dxa"/>
            <w:tcBorders/>
            <w:vAlign w:val="center"/>
          </w:tcPr>
          <w:p>
            <w:pPr>
              <w:pStyle w:val="TableContents"/>
              <w:bidi w:val="0"/>
              <w:spacing w:before="1" w:after="1"/>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1"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1"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49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Private insurers and other payers</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48,791</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39,041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83,765</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67,986</w:t>
            </w:r>
          </w:p>
        </w:tc>
      </w:tr>
      <w:tr>
        <w:trPr/>
        <w:tc>
          <w:tcPr>
            <w:tcW w:w="349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Veterans Administration</w:t>
            </w:r>
          </w:p>
        </w:tc>
        <w:tc>
          <w:tcPr>
            <w:tcW w:w="346" w:type="dxa"/>
            <w:tcBorders/>
            <w:vAlign w:val="center"/>
          </w:tcPr>
          <w:p>
            <w:pPr>
              <w:pStyle w:val="TableContents"/>
              <w:bidi w:val="0"/>
              <w:spacing w:before="1" w:after="1"/>
              <w:ind w:left="0" w:right="0" w:hanging="0"/>
              <w:jc w:val="left"/>
              <w:rPr/>
            </w:pPr>
            <w:r>
              <w:rPr/>
              <w:t>​</w:t>
            </w:r>
          </w:p>
        </w:tc>
        <w:tc>
          <w:tcPr>
            <w:tcW w:w="225" w:type="dxa"/>
            <w:tcBorders/>
            <w:vAlign w:val="center"/>
          </w:tcPr>
          <w:p>
            <w:pPr>
              <w:pStyle w:val="TableContents"/>
              <w:bidi w:val="0"/>
              <w:spacing w:before="1" w:after="1"/>
              <w:ind w:left="0" w:right="0" w:hanging="0"/>
              <w:jc w:val="left"/>
              <w:rPr/>
            </w:pPr>
            <w:r>
              <w:rPr/>
              <w:t>​</w:t>
            </w:r>
          </w:p>
        </w:tc>
        <w:tc>
          <w:tcPr>
            <w:tcW w:w="737"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7,412</w:t>
            </w:r>
          </w:p>
        </w:tc>
        <w:tc>
          <w:tcPr>
            <w:tcW w:w="116" w:type="dxa"/>
            <w:tcBorders/>
            <w:vAlign w:val="center"/>
          </w:tcPr>
          <w:p>
            <w:pPr>
              <w:pStyle w:val="TableContents"/>
              <w:bidi w:val="0"/>
              <w:spacing w:before="1" w:after="1"/>
              <w:ind w:left="0" w:right="0" w:hanging="0"/>
              <w:jc w:val="left"/>
              <w:rPr/>
            </w:pPr>
            <w:r>
              <w:rPr/>
              <w:t>​</w:t>
            </w:r>
          </w:p>
        </w:tc>
        <w:tc>
          <w:tcPr>
            <w:tcW w:w="225" w:type="dxa"/>
            <w:tcBorders/>
            <w:vAlign w:val="center"/>
          </w:tcPr>
          <w:p>
            <w:pPr>
              <w:pStyle w:val="TableContents"/>
              <w:bidi w:val="0"/>
              <w:spacing w:before="1" w:after="1"/>
              <w:ind w:left="0" w:right="0" w:hanging="0"/>
              <w:jc w:val="left"/>
              <w:rPr/>
            </w:pPr>
            <w:r>
              <w:rPr/>
              <w:t>​</w:t>
            </w:r>
          </w:p>
        </w:tc>
        <w:tc>
          <w:tcPr>
            <w:tcW w:w="737"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7,506</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13,615</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14,043</w:t>
            </w:r>
          </w:p>
        </w:tc>
      </w:tr>
      <w:tr>
        <w:trPr/>
        <w:tc>
          <w:tcPr>
            <w:tcW w:w="349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Medicare</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w:t>
            </w:r>
          </w:p>
        </w:tc>
        <w:tc>
          <w:tcPr>
            <w:tcW w:w="73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17,427</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w:t>
            </w:r>
          </w:p>
        </w:tc>
        <w:tc>
          <w:tcPr>
            <w:tcW w:w="73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19,422</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38,471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34,495</w:t>
            </w:r>
          </w:p>
        </w:tc>
      </w:tr>
      <w:tr>
        <w:trPr/>
        <w:tc>
          <w:tcPr>
            <w:tcW w:w="349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Durable medical equipment distributors</w:t>
            </w:r>
          </w:p>
        </w:tc>
        <w:tc>
          <w:tcPr>
            <w:tcW w:w="346" w:type="dxa"/>
            <w:tcBorders/>
            <w:vAlign w:val="center"/>
          </w:tcPr>
          <w:p>
            <w:pPr>
              <w:pStyle w:val="TableContents"/>
              <w:bidi w:val="0"/>
              <w:spacing w:before="1"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12,068</w:t>
            </w:r>
          </w:p>
        </w:tc>
        <w:tc>
          <w:tcPr>
            <w:tcW w:w="116" w:type="dxa"/>
            <w:tcBorders/>
            <w:vAlign w:val="center"/>
          </w:tcPr>
          <w:p>
            <w:pPr>
              <w:pStyle w:val="TableContents"/>
              <w:bidi w:val="0"/>
              <w:spacing w:before="1"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12,936</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25,114</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23,649</w:t>
            </w:r>
          </w:p>
        </w:tc>
      </w:tr>
      <w:tr>
        <w:trPr/>
        <w:tc>
          <w:tcPr>
            <w:tcW w:w="349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85,698</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78,905</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160,965</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140,173</w:t>
            </w:r>
          </w:p>
        </w:tc>
      </w:tr>
    </w:tbl>
    <w:p>
      <w:pPr>
        <w:pStyle w:val="TextBody"/>
        <w:pBdr/>
        <w:shd w:fill="FFFFFF" w:val="clear"/>
        <w:bidi w:val="0"/>
        <w:spacing w:before="100" w:after="100"/>
        <w:ind w:left="0" w:right="0" w:firstLine="720"/>
        <w:jc w:val="both"/>
        <w:rPr/>
      </w:pPr>
      <w:r>
        <w:rPr/>
        <w:t>​</w:t>
      </w:r>
    </w:p>
    <w:p>
      <w:pPr>
        <w:pStyle w:val="TextBody"/>
        <w:shd w:fill="FFFFFF" w:val="clear"/>
        <w:bidi w:val="0"/>
        <w:spacing w:before="0" w:after="240"/>
        <w:ind w:left="0" w:right="0" w:firstLine="720"/>
        <w:jc w:val="both"/>
        <w:rPr>
          <w:rFonts w:ascii="Times New Roman;Times;serif" w:hAnsi="Times New Roman;Times;serif"/>
          <w:sz w:val="24"/>
        </w:rPr>
      </w:pPr>
      <w:r>
        <w:rPr>
          <w:rFonts w:ascii="Arial;Helvetica;sans-serif" w:hAnsi="Arial;Helvetica;sans-serif"/>
          <w:sz w:val="20"/>
        </w:rPr>
        <w:t xml:space="preserve">Our rental revenue is derived from rent-to-purchase arrangements that typically range from </w:t>
      </w:r>
      <w:r>
        <w:rPr>
          <w:rFonts w:ascii="Arial;Helvetica;sans-serif" w:hAnsi="Arial;Helvetica;sans-serif"/>
          <w:b w:val="false"/>
          <w:i w:val="false"/>
          <w:caps w:val="false"/>
          <w:smallCaps w:val="false"/>
          <w:sz w:val="20"/>
        </w:rPr>
        <w:t>three</w:t>
      </w:r>
      <w:r>
        <w:rPr>
          <w:rFonts w:ascii="Times New Roman;Times;serif" w:hAnsi="Times New Roman;Times;serif"/>
          <w:sz w:val="24"/>
        </w:rPr>
        <w:t xml:space="preserve"> </w:t>
      </w:r>
      <w:r>
        <w:rPr>
          <w:rFonts w:ascii="Arial;Helvetica;sans-serif" w:hAnsi="Arial;Helvetica;sans-serif"/>
          <w:sz w:val="20"/>
        </w:rPr>
        <w:t xml:space="preserve">to ten months. As title transfers to the patient, with whom we have the contract, upon the termination of the lease term and because collectability is probable, under ASC 842, these are recognized as sales-type leases. Each rental agreement contains two components, the controller and related garments, both of which are interdependent and recognized as one lease component.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revenue and associated cost of revenue of sales-type leases are recognized on the lease commencement date and a net investment in leases is recorded on the Condensed Consolidated Balance Sheets. We bill the patients’ insurance payers monthly over the duration of the rental term. We record the net investment in leases and recognize revenue upon commencement of the lease in the amount of the expected consideration to be received through the monthly payments. Similar to our sales revenue, the transaction price is impacted by multiple factors, including the terms and conditions contracted by third-party payers. As the rental contract resides with the patients, we have elected the portfolio approach, at the payer level, to determine the expected consideration, which considers the impact of early terminations. While the contract is with the patient, in certain circumstances, the third-party payer elects an initial rental period with an option to extend. We assess the likelihood of extending the lease at the onset of the lease to determine if the option is reasonably certain to be exercised. As the lease is short-term in nature, we anticipate collection of substantially all of the net investment within the first year of the lease agreement. Completion of these payments represents the fair market value of the equipment, and as such, interest income is not applicable.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0" w:after="240"/>
        <w:ind w:left="0" w:right="0" w:firstLine="720"/>
        <w:jc w:val="left"/>
        <w:rPr>
          <w:rFonts w:ascii="Arial;Helvetica;sans-serif" w:hAnsi="Arial;Helvetica;sans-serif"/>
          <w:sz w:val="20"/>
        </w:rPr>
      </w:pPr>
      <w:bookmarkStart w:id="1009" w:name="Tc_-dbEJ-sfJUm-XMv3zOHKqQ_6_11"/>
      <w:bookmarkStart w:id="1010" w:name="Tc_WZlccPi0Y0STWoPcSXDOVA_6_8"/>
      <w:bookmarkStart w:id="1011" w:name="Tc_Vxae2uY0h0GHNAiXPp3Chw_6_5"/>
      <w:bookmarkStart w:id="1012" w:name="Tc_8B59RkjKNkOt9MLeu-dhbg_6_2"/>
      <w:bookmarkStart w:id="1013" w:name="Tc_QB7GWGo830yBEO4j_9xeMA_6_0"/>
      <w:bookmarkStart w:id="1014" w:name="Tc_p61_g49lJUaAmFmiFlg-7g_5_0"/>
      <w:bookmarkStart w:id="1015" w:name="Tc_fFJ7iz897kSQCQmURmBRuQ_4_11"/>
      <w:bookmarkStart w:id="1016" w:name="Tc_qG4NBfu8o06JlaMHrN1MmA_4_8"/>
      <w:bookmarkStart w:id="1017" w:name="Tc_8qC3haqOyUWlPHPrDuDhCQ_4_5"/>
      <w:bookmarkStart w:id="1018" w:name="Tc_lXRhaHigjUSwljToB2J11Q_4_2"/>
      <w:bookmarkStart w:id="1019" w:name="Tc_cD0rXa-L5kCbE6Po2wY1Hg_4_0"/>
      <w:bookmarkStart w:id="1020" w:name="Tc_2nDYjZyT7U2X6DPVM7JZ9g_3_11"/>
      <w:bookmarkStart w:id="1021" w:name="Tc_4EjRymayEUWsolyBE2suiQ_3_8"/>
      <w:bookmarkStart w:id="1022" w:name="Tc_E3W10ndDhUWOTI5gxqNnQg_3_5"/>
      <w:bookmarkStart w:id="1023" w:name="Tc_YDSGtPXy_0aFQBAfoK_xPQ_3_2"/>
      <w:bookmarkStart w:id="1024" w:name="Tc_7DbF3iAFUU6XpCXyvXoq2A_3_0"/>
      <w:bookmarkStart w:id="1025" w:name="Tc_r8yDhStZWE6TGa7IVIJjwA_2_8"/>
      <w:bookmarkStart w:id="1026" w:name="Tc_vl4tR_c4vUKlkMqSvnO-sg_2_2"/>
      <w:bookmarkStart w:id="1027" w:name="Tc_MADbh4WFJkSbU1N9Qmwprw_1_8"/>
      <w:bookmarkStart w:id="1028" w:name="Tc_k-03MHTgdEq3-PVdvkxG2A_1_2"/>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Pr>
          <w:rFonts w:ascii="Arial;Helvetica;sans-serif" w:hAnsi="Arial;Helvetica;sans-serif"/>
          <w:sz w:val="20"/>
        </w:rPr>
        <w:t>Rental revenue for each of the three and six months ended June 30, 2026 and 2025, was primarily from private insurers and Medicare. Sales-type lease revenue and the associated cost of revenue for the three and six months ended June 30, 2026 and 2025, was:</w:t>
      </w:r>
    </w:p>
    <w:p>
      <w:pPr>
        <w:pStyle w:val="TextBody"/>
        <w:bidi w:val="0"/>
        <w:spacing w:before="0" w:after="0"/>
        <w:ind w:left="0" w:right="0" w:hanging="0"/>
        <w:jc w:val="left"/>
        <w:rPr/>
      </w:pPr>
      <w:r>
        <w:rPr/>
        <w:t>​</w:t>
      </w:r>
    </w:p>
    <w:tbl>
      <w:tblPr>
        <w:tblW w:w="7260" w:type="dxa"/>
        <w:jc w:val="left"/>
        <w:tblInd w:w="0" w:type="dxa"/>
        <w:tblLayout w:type="fixed"/>
        <w:tblCellMar>
          <w:top w:w="0" w:type="dxa"/>
          <w:left w:w="0" w:type="dxa"/>
          <w:bottom w:w="0" w:type="dxa"/>
          <w:right w:w="0" w:type="dxa"/>
        </w:tblCellMar>
      </w:tblPr>
      <w:tblGrid>
        <w:gridCol w:w="2986"/>
        <w:gridCol w:w="109"/>
        <w:gridCol w:w="252"/>
        <w:gridCol w:w="702"/>
        <w:gridCol w:w="130"/>
        <w:gridCol w:w="252"/>
        <w:gridCol w:w="702"/>
        <w:gridCol w:w="109"/>
        <w:gridCol w:w="211"/>
        <w:gridCol w:w="691"/>
        <w:gridCol w:w="109"/>
        <w:gridCol w:w="211"/>
        <w:gridCol w:w="79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896110" cy="175895"/>
                      <wp:effectExtent l="0" t="0" r="0" b="0"/>
                      <wp:wrapNone/>
                      <wp:docPr id="187" name="Frame187"/>
                      <a:graphic xmlns:a="http://schemas.openxmlformats.org/drawingml/2006/main">
                        <a:graphicData uri="http://schemas.microsoft.com/office/word/2010/wordprocessingShape">
                          <wps:wsp>
                            <wps:cNvSpPr txBox="1"/>
                            <wps:spPr>
                              <a:xfrm>
                                <a:off x="0" y="0"/>
                                <a:ext cx="1896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895"/>
                      <wp:effectExtent l="0" t="0" r="0" b="0"/>
                      <wp:wrapNone/>
                      <wp:docPr id="188" name="Frame18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60020" cy="175895"/>
                      <wp:effectExtent l="0" t="0" r="0" b="0"/>
                      <wp:wrapNone/>
                      <wp:docPr id="189" name="Frame189"/>
                      <a:graphic xmlns:a="http://schemas.openxmlformats.org/drawingml/2006/main">
                        <a:graphicData uri="http://schemas.microsoft.com/office/word/2010/wordprocessingShape">
                          <wps:wsp>
                            <wps:cNvSpPr txBox="1"/>
                            <wps:spPr>
                              <a:xfrm>
                                <a:off x="0" y="0"/>
                                <a:ext cx="1600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45770" cy="175895"/>
                      <wp:effectExtent l="0" t="0" r="0" b="0"/>
                      <wp:wrapNone/>
                      <wp:docPr id="190" name="Frame190"/>
                      <a:graphic xmlns:a="http://schemas.openxmlformats.org/drawingml/2006/main">
                        <a:graphicData uri="http://schemas.microsoft.com/office/word/2010/wordprocessingShape">
                          <wps:wsp>
                            <wps:cNvSpPr txBox="1"/>
                            <wps:spPr>
                              <a:xfrm>
                                <a:off x="0" y="0"/>
                                <a:ext cx="4457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2550" cy="175895"/>
                      <wp:effectExtent l="0" t="0" r="0" b="0"/>
                      <wp:wrapNone/>
                      <wp:docPr id="191" name="Frame191"/>
                      <a:graphic xmlns:a="http://schemas.openxmlformats.org/drawingml/2006/main">
                        <a:graphicData uri="http://schemas.microsoft.com/office/word/2010/wordprocessingShape">
                          <wps:wsp>
                            <wps:cNvSpPr txBox="1"/>
                            <wps:spPr>
                              <a:xfrm>
                                <a:off x="0" y="0"/>
                                <a:ext cx="825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0020" cy="175895"/>
                      <wp:effectExtent l="0" t="0" r="0" b="0"/>
                      <wp:wrapNone/>
                      <wp:docPr id="192" name="Frame192"/>
                      <a:graphic xmlns:a="http://schemas.openxmlformats.org/drawingml/2006/main">
                        <a:graphicData uri="http://schemas.microsoft.com/office/word/2010/wordprocessingShape">
                          <wps:wsp>
                            <wps:cNvSpPr txBox="1"/>
                            <wps:spPr>
                              <a:xfrm>
                                <a:off x="0" y="0"/>
                                <a:ext cx="1600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45770" cy="175895"/>
                      <wp:effectExtent l="0" t="0" r="0" b="0"/>
                      <wp:wrapNone/>
                      <wp:docPr id="193" name="Frame193"/>
                      <a:graphic xmlns:a="http://schemas.openxmlformats.org/drawingml/2006/main">
                        <a:graphicData uri="http://schemas.microsoft.com/office/word/2010/wordprocessingShape">
                          <wps:wsp>
                            <wps:cNvSpPr txBox="1"/>
                            <wps:spPr>
                              <a:xfrm>
                                <a:off x="0" y="0"/>
                                <a:ext cx="4457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895"/>
                      <wp:effectExtent l="0" t="0" r="0" b="0"/>
                      <wp:wrapNone/>
                      <wp:docPr id="194" name="Frame19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895"/>
                      <wp:effectExtent l="0" t="0" r="0" b="0"/>
                      <wp:wrapNone/>
                      <wp:docPr id="195" name="Frame19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895"/>
                      <wp:effectExtent l="0" t="0" r="0" b="0"/>
                      <wp:wrapNone/>
                      <wp:docPr id="196" name="Frame196"/>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895"/>
                      <wp:effectExtent l="0" t="0" r="0" b="0"/>
                      <wp:wrapNone/>
                      <wp:docPr id="197" name="Frame19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895"/>
                      <wp:effectExtent l="0" t="0" r="0" b="0"/>
                      <wp:wrapNone/>
                      <wp:docPr id="198" name="Frame19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05460" cy="175895"/>
                      <wp:effectExtent l="0" t="0" r="0" b="0"/>
                      <wp:wrapNone/>
                      <wp:docPr id="199" name="Frame199"/>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038"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109" w:type="dxa"/>
            <w:tcBorders/>
            <w:vAlign w:val="center"/>
          </w:tcPr>
          <w:p>
            <w:pPr>
              <w:pStyle w:val="TableContents"/>
              <w:bidi w:val="0"/>
              <w:spacing w:before="1" w:after="1"/>
              <w:ind w:left="0" w:right="0" w:hanging="0"/>
              <w:jc w:val="left"/>
              <w:rPr/>
            </w:pPr>
            <w:r>
              <w:rPr/>
              <w:t>​</w:t>
            </w:r>
          </w:p>
        </w:tc>
        <w:tc>
          <w:tcPr>
            <w:tcW w:w="2018"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r>
      <w:tr>
        <w:trPr/>
        <w:tc>
          <w:tcPr>
            <w:tcW w:w="298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 </w:t>
            </w:r>
          </w:p>
        </w:tc>
        <w:tc>
          <w:tcPr>
            <w:tcW w:w="109" w:type="dxa"/>
            <w:tcBorders/>
            <w:vAlign w:val="center"/>
          </w:tcPr>
          <w:p>
            <w:pPr>
              <w:pStyle w:val="TableContents"/>
              <w:bidi w:val="0"/>
              <w:spacing w:before="1" w:after="1"/>
              <w:ind w:left="0" w:right="0" w:hanging="0"/>
              <w:jc w:val="left"/>
              <w:rPr/>
            </w:pPr>
            <w:r>
              <w:rPr/>
              <w:t>​</w:t>
            </w:r>
          </w:p>
        </w:tc>
        <w:tc>
          <w:tcPr>
            <w:tcW w:w="201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 </w:t>
            </w:r>
          </w:p>
        </w:tc>
      </w:tr>
      <w:tr>
        <w:trPr/>
        <w:tc>
          <w:tcPr>
            <w:tcW w:w="298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109" w:type="dxa"/>
            <w:tcBorders/>
            <w:vAlign w:val="center"/>
          </w:tcPr>
          <w:p>
            <w:pPr>
              <w:pStyle w:val="TableContents"/>
              <w:bidi w:val="0"/>
              <w:spacing w:before="1" w:after="1"/>
              <w:ind w:left="0" w:right="0" w:hanging="0"/>
              <w:jc w:val="center"/>
              <w:rPr/>
            </w:pPr>
            <w:r>
              <w:rPr/>
              <w:t>​</w:t>
            </w:r>
          </w:p>
        </w:tc>
        <w:tc>
          <w:tcPr>
            <w:tcW w:w="954"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30" w:type="dxa"/>
            <w:tcBorders/>
            <w:vAlign w:val="center"/>
          </w:tcPr>
          <w:p>
            <w:pPr>
              <w:pStyle w:val="TableContents"/>
              <w:bidi w:val="0"/>
              <w:spacing w:before="1" w:after="1"/>
              <w:ind w:left="0" w:right="0" w:hanging="0"/>
              <w:jc w:val="left"/>
              <w:rPr/>
            </w:pPr>
            <w:r>
              <w:rPr/>
              <w:t>​</w:t>
            </w:r>
          </w:p>
        </w:tc>
        <w:tc>
          <w:tcPr>
            <w:tcW w:w="954"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1"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1"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9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Sales-type lease revenue</w:t>
            </w:r>
          </w:p>
        </w:tc>
        <w:tc>
          <w:tcPr>
            <w:tcW w:w="109" w:type="dxa"/>
            <w:tcBorders/>
            <w:shd w:fill="CCEEFF" w:val="clear"/>
            <w:vAlign w:val="center"/>
          </w:tcPr>
          <w:p>
            <w:pPr>
              <w:pStyle w:val="TableContents"/>
              <w:bidi w:val="0"/>
              <w:spacing w:before="1" w:after="1"/>
              <w:ind w:left="0" w:right="0" w:hanging="0"/>
              <w:jc w:val="right"/>
              <w:rPr/>
            </w:pPr>
            <w:r>
              <w:rPr/>
              <w:t>​</w:t>
            </w:r>
          </w:p>
        </w:tc>
        <w:tc>
          <w:tcPr>
            <w:tcW w:w="252"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9,209</w:t>
            </w:r>
          </w:p>
        </w:tc>
        <w:tc>
          <w:tcPr>
            <w:tcW w:w="130"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8,374</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17,510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17,173</w:t>
            </w:r>
          </w:p>
        </w:tc>
      </w:tr>
      <w:tr>
        <w:trPr/>
        <w:tc>
          <w:tcPr>
            <w:tcW w:w="298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Cost of sales-type lease revenue</w:t>
            </w:r>
          </w:p>
        </w:tc>
        <w:tc>
          <w:tcPr>
            <w:tcW w:w="109" w:type="dxa"/>
            <w:tcBorders/>
            <w:vAlign w:val="center"/>
          </w:tcPr>
          <w:p>
            <w:pPr>
              <w:pStyle w:val="TableContents"/>
              <w:bidi w:val="0"/>
              <w:spacing w:before="1" w:after="1"/>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2,721</w:t>
            </w:r>
          </w:p>
        </w:tc>
        <w:tc>
          <w:tcPr>
            <w:tcW w:w="130" w:type="dxa"/>
            <w:tcBorders/>
            <w:vAlign w:val="center"/>
          </w:tcPr>
          <w:p>
            <w:pPr>
              <w:pStyle w:val="TableContents"/>
              <w:bidi w:val="0"/>
              <w:spacing w:before="1"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2,629</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5,115</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4,660</w:t>
            </w:r>
          </w:p>
        </w:tc>
      </w:tr>
      <w:tr>
        <w:trPr/>
        <w:tc>
          <w:tcPr>
            <w:tcW w:w="298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109" w:type="dxa"/>
            <w:tcBorders/>
            <w:shd w:fill="CCEEFF" w:val="clear"/>
            <w:vAlign w:val="center"/>
          </w:tcPr>
          <w:p>
            <w:pPr>
              <w:pStyle w:val="TableContents"/>
              <w:bidi w:val="0"/>
              <w:spacing w:before="1" w:after="1"/>
              <w:ind w:left="0" w:right="0" w:hanging="0"/>
              <w:jc w:val="righ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6,488</w:t>
            </w:r>
          </w:p>
        </w:tc>
        <w:tc>
          <w:tcPr>
            <w:tcW w:w="130" w:type="dxa"/>
            <w:tcBorders/>
            <w:shd w:fill="CCEEFF" w:val="clear"/>
            <w:vAlign w:val="center"/>
          </w:tcPr>
          <w:p>
            <w:pPr>
              <w:pStyle w:val="TableContents"/>
              <w:bidi w:val="0"/>
              <w:spacing w:before="1"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5,745</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12,395</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Arial;Helvetica;sans-serif" w:hAnsi="Arial;Helvetica;sans-serif"/>
                <w:sz w:val="20"/>
              </w:rPr>
            </w:pPr>
            <w:r>
              <w:rPr>
                <w:rFonts w:ascii="Arial;Helvetica;sans-serif" w:hAnsi="Arial;Helvetica;sans-serif"/>
                <w:sz w:val="20"/>
              </w:rPr>
              <w:t>12,513</w:t>
            </w:r>
          </w:p>
        </w:tc>
      </w:tr>
    </w:tbl>
    <w:p>
      <w:pPr>
        <w:pStyle w:val="TextBody"/>
        <w:shd w:fill="FFFFFF" w:val="clear"/>
        <w:bidi w:val="0"/>
        <w:spacing w:before="100" w:after="100"/>
        <w:ind w:left="0" w:right="0" w:hanging="0"/>
        <w:jc w:val="both"/>
        <w:rPr/>
      </w:pPr>
      <w:r>
        <w:rPr/>
        <w:t>​</w:t>
      </w:r>
    </w:p>
    <w:p>
      <w:pPr>
        <w:pStyle w:val="TextBody"/>
        <w:shd w:fill="FFFFFF" w:val="clear"/>
        <w:bidi w:val="0"/>
        <w:spacing w:before="100" w:after="100"/>
        <w:ind w:left="0" w:right="0" w:hanging="0"/>
        <w:jc w:val="both"/>
        <w:rPr/>
      </w:pPr>
      <w:r>
        <w:rPr/>
        <w:t>​</w:t>
      </w:r>
    </w:p>
    <w:p>
      <w:pPr>
        <w:pStyle w:val="TextBody"/>
        <w:pBdr/>
        <w:shd w:fill="FFFFFF" w:val="clear"/>
        <w:bidi w:val="0"/>
        <w:spacing w:before="0" w:after="0"/>
        <w:ind w:left="0" w:right="0" w:hanging="0"/>
        <w:jc w:val="both"/>
        <w:rPr>
          <w:rFonts w:ascii="Arial;Helvetica;sans-serif" w:hAnsi="Arial;Helvetica;sans-serif"/>
          <w:b/>
          <w:sz w:val="20"/>
        </w:rPr>
      </w:pPr>
      <w:r>
        <w:rPr>
          <w:rFonts w:ascii="Arial;Helvetica;sans-serif" w:hAnsi="Arial;Helvetica;sans-serif"/>
          <w:b/>
          <w:sz w:val="20"/>
        </w:rPr>
        <w:t>Note 12. Income Taxes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We record our interim provision for income taxes by applying our estimated annual effective tax rate to our year-to-date pre-tax income and adjusting for discrete tax items recorded in the period. Deferred income taxes result from temporary differences between the reporting of amounts for financial statement purposes and income tax purposes. These differences relate primarily to different methods used for income tax reporting purposes, including for depreciation and amortization, warranty and vacation accruals, and deductions related to allowances for doubtful accounts receivable and inventory reserves. Our provision for income taxes included current federal and state income tax expense, as well as deferred federal and state income tax expense.</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The effective tax rate for the three months ended June 30, 2026 was a benefit of 5.7%, compared to an expense of 28.9%</w:t>
      </w:r>
      <w:r>
        <w:rPr>
          <w:rFonts w:ascii="Times New Roman;Times;serif" w:hAnsi="Times New Roman;Times;serif"/>
          <w:sz w:val="20"/>
        </w:rPr>
        <w:t xml:space="preserve"> </w:t>
      </w:r>
      <w:r>
        <w:rPr>
          <w:rFonts w:ascii="Arial;Helvetica;sans-serif" w:hAnsi="Arial;Helvetica;sans-serif"/>
          <w:sz w:val="20"/>
        </w:rPr>
        <w:t>for the three months ended June 30, 2025. The primary driver of the change in the Company’s effective tax rate was attributable to the relative impact of stock-based compensation discrete tax items. We recorded an income tax benefit of $0.4</w:t>
      </w:r>
      <w:r>
        <w:rPr>
          <w:rFonts w:ascii="Times New Roman;Times;serif" w:hAnsi="Times New Roman;Times;serif"/>
          <w:sz w:val="20"/>
        </w:rPr>
        <w:t xml:space="preserve"> </w:t>
      </w:r>
      <w:r>
        <w:rPr>
          <w:rFonts w:ascii="Arial;Helvetica;sans-serif" w:hAnsi="Arial;Helvetica;sans-serif"/>
          <w:sz w:val="20"/>
        </w:rPr>
        <w:t>million and an income tax expense of $1.3</w:t>
      </w:r>
      <w:r>
        <w:rPr>
          <w:rFonts w:ascii="Times New Roman;Times;serif" w:hAnsi="Times New Roman;Times;serif"/>
          <w:sz w:val="20"/>
        </w:rPr>
        <w:t xml:space="preserve"> </w:t>
      </w:r>
      <w:r>
        <w:rPr>
          <w:rFonts w:ascii="Arial;Helvetica;sans-serif" w:hAnsi="Arial;Helvetica;sans-serif"/>
          <w:sz w:val="20"/>
        </w:rPr>
        <w:t>million for the three months ended June 30, 2026 and 2025, respectively.</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The effective tax rate for the six months ended June 30, 2026 was an expense of 7.0%, compared to an expense of 46.4%</w:t>
      </w:r>
      <w:r>
        <w:rPr>
          <w:rFonts w:ascii="Times New Roman;Times;serif" w:hAnsi="Times New Roman;Times;serif"/>
          <w:sz w:val="20"/>
        </w:rPr>
        <w:t xml:space="preserve"> </w:t>
      </w:r>
      <w:r>
        <w:rPr>
          <w:rFonts w:ascii="Arial;Helvetica;sans-serif" w:hAnsi="Arial;Helvetica;sans-serif"/>
          <w:sz w:val="20"/>
        </w:rPr>
        <w:t>for the six months ended June 30, 2025. The primary driver of the change in the Company’s effective tax rate was attributable to the relative impact of stock-based compensation discrete tax items. We recorded an income tax expense of $0.5</w:t>
      </w:r>
      <w:r>
        <w:rPr>
          <w:rFonts w:ascii="Times New Roman;Times;serif" w:hAnsi="Times New Roman;Times;serif"/>
          <w:sz w:val="20"/>
        </w:rPr>
        <w:t xml:space="preserve"> </w:t>
      </w:r>
      <w:r>
        <w:rPr>
          <w:rFonts w:ascii="Arial;Helvetica;sans-serif" w:hAnsi="Arial;Helvetica;sans-serif"/>
          <w:sz w:val="20"/>
        </w:rPr>
        <w:t>million and an income tax expense of $0.2</w:t>
      </w:r>
      <w:r>
        <w:rPr>
          <w:rFonts w:ascii="Times New Roman;Times;serif" w:hAnsi="Times New Roman;Times;serif"/>
          <w:sz w:val="20"/>
        </w:rPr>
        <w:t xml:space="preserve"> </w:t>
      </w:r>
      <w:r>
        <w:rPr>
          <w:rFonts w:ascii="Arial;Helvetica;sans-serif" w:hAnsi="Arial;Helvetica;sans-serif"/>
          <w:sz w:val="20"/>
        </w:rPr>
        <w:t>million for the six months ended June 30, 2026 and 2025, respectively.</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We recognize the financial statement benefit of a tax position only after determining that the relevant tax authority is more-likely-than-not to sustain the position following an audit. For tax positions meeting the more-likely-than-not threshold, the amount recognized in the condensed consolidated financial statements is the largest benefit that has a greater than 50% likelihood of being realized upon ultimate settlement with the relevant tax authority.</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The Company currently is not under income tax examination in any jurisdictions.</w:t>
      </w:r>
      <w:r>
        <w:rPr>
          <w:rFonts w:ascii="Times New Roman;Times;serif" w:hAnsi="Times New Roman;Times;serif"/>
          <w:sz w:val="20"/>
        </w:rPr>
        <w:t xml:space="preserve"> </w:t>
      </w:r>
    </w:p>
    <w:p>
      <w:pPr>
        <w:pStyle w:val="TextBody"/>
        <w:pBdr/>
        <w:shd w:fill="FFFFFF" w:val="clear"/>
        <w:bidi w:val="0"/>
        <w:spacing w:before="0" w:after="0"/>
        <w:ind w:left="0" w:right="0" w:hanging="0"/>
        <w:jc w:val="both"/>
        <w:rPr>
          <w:rFonts w:ascii="Arial;Helvetica;sans-serif" w:hAnsi="Arial;Helvetica;sans-serif"/>
          <w:b/>
          <w:sz w:val="20"/>
        </w:rPr>
      </w:pPr>
      <w:bookmarkStart w:id="1029" w:name="Tc_qCENdA6ZBki_Au-1_E1Tgw_8_11"/>
      <w:bookmarkStart w:id="1030" w:name="Tc_9GJjgWoquUi1BaqXeTOn3w_8_8"/>
      <w:bookmarkStart w:id="1031" w:name="Tc_k6_6o0DHzkSKIid1mFze0A_8_5"/>
      <w:bookmarkStart w:id="1032" w:name="Tc_yz9UFG8-jEmc3sr5OHRduQ_8_2"/>
      <w:bookmarkStart w:id="1033" w:name="Tc_Qu4E6cYq60WbJKrLp_LpXg_8_0"/>
      <w:bookmarkStart w:id="1034" w:name="Tc_JA6mQ29O7UuWjmeaov24nQ_7_11"/>
      <w:bookmarkStart w:id="1035" w:name="Tc_fkTovzvZvUy-Yjs9oDOHiQ_7_8"/>
      <w:bookmarkStart w:id="1036" w:name="Tc_W8hUOksDhE2VseWo5GE5rg_7_5"/>
      <w:bookmarkStart w:id="1037" w:name="Tc_hAfITo_CNUe5_hH7WpVvrg_7_2"/>
      <w:bookmarkStart w:id="1038" w:name="Tc_gXaERcXIDEKgWqSduOVbaA_7_0"/>
      <w:bookmarkStart w:id="1039" w:name="Tc_rxLTyO5Kx0OSIH1ODABl2A_6_0"/>
      <w:bookmarkStart w:id="1040" w:name="Tc_UBuaH49dbk27kJ71wRGBZw_5_0"/>
      <w:bookmarkStart w:id="1041" w:name="Tc_Rl3wVwuYaUyskm83NRXuog_4_11"/>
      <w:bookmarkStart w:id="1042" w:name="Tc_7dH1SRQ_m0W3LvI3A6GynQ_4_8"/>
      <w:bookmarkStart w:id="1043" w:name="Tc_gTfDfo2vd0yAT8uqkh91YQ_4_5"/>
      <w:bookmarkStart w:id="1044" w:name="Tc_bMpgdZ0S9ke7f7XoI9FmhA_4_2"/>
      <w:bookmarkStart w:id="1045" w:name="Tc_YY4am3X6nUmkw2I0ASGmJg_4_0"/>
      <w:bookmarkStart w:id="1046" w:name="Tc_YQq5wHdvkUm3aokTHvYUIQ_3_11"/>
      <w:bookmarkStart w:id="1047" w:name="Tc_BD22iQHuxk6BZbXr_DSzuA_3_8"/>
      <w:bookmarkStart w:id="1048" w:name="Tc_EKaylWKO_k-sYA-KowW9ug_3_5"/>
      <w:bookmarkStart w:id="1049" w:name="Tc_32DhpKmQ5UCRimVtlysKLQ_3_2"/>
      <w:bookmarkStart w:id="1050" w:name="Tc_RYaPpfGwgUCuL5eiK5UiAQ_3_0"/>
      <w:bookmarkStart w:id="1051" w:name="Tc_-kDcJQTk0UGw-WWQiUh2vQ_2_8"/>
      <w:bookmarkStart w:id="1052" w:name="Tc_XSUNurdNFkmAZZbOeEwFvQ_2_2"/>
      <w:bookmarkStart w:id="1053" w:name="Tc_266BNH6wBEW05XqEX9jSLw_1_8"/>
      <w:bookmarkStart w:id="1054" w:name="Tc_Z5-7Dodq_U-ggHCBf12L7Q_1_2"/>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rFonts w:ascii="Arial;Helvetica;sans-serif" w:hAnsi="Arial;Helvetica;sans-serif"/>
          <w:b/>
          <w:sz w:val="20"/>
        </w:rPr>
        <w:t xml:space="preserve">Note 13. Net Income Per Share </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sets forth the computation of our basic and diluted net income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68"/>
        <w:gridCol w:w="346"/>
        <w:gridCol w:w="211"/>
        <w:gridCol w:w="1066"/>
        <w:gridCol w:w="346"/>
        <w:gridCol w:w="211"/>
        <w:gridCol w:w="1066"/>
        <w:gridCol w:w="346"/>
        <w:gridCol w:w="211"/>
        <w:gridCol w:w="1066"/>
        <w:gridCol w:w="346"/>
        <w:gridCol w:w="211"/>
        <w:gridCol w:w="1111"/>
      </w:tblGrid>
      <w:tr>
        <w:trPr/>
        <w:tc>
          <w:tcPr>
            <w:tcW w:w="3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76910" cy="175260"/>
                      <wp:effectExtent l="0" t="0" r="0" b="0"/>
                      <wp:wrapNone/>
                      <wp:docPr id="202" name="Frame20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76910" cy="175260"/>
                      <wp:effectExtent l="0" t="0" r="0" b="0"/>
                      <wp:wrapNone/>
                      <wp:docPr id="205" name="Frame20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76910" cy="175260"/>
                      <wp:effectExtent l="0" t="0" r="0" b="0"/>
                      <wp:wrapNone/>
                      <wp:docPr id="208" name="Frame20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05485" cy="175260"/>
                      <wp:effectExtent l="0" t="0" r="0" b="0"/>
                      <wp:wrapNone/>
                      <wp:docPr id="211" name="Frame21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0"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346" w:type="dxa"/>
            <w:tcBorders/>
            <w:vAlign w:val="center"/>
          </w:tcPr>
          <w:p>
            <w:pPr>
              <w:pStyle w:val="TableContents"/>
              <w:bidi w:val="0"/>
              <w:spacing w:before="0" w:after="0"/>
              <w:ind w:left="0" w:right="0" w:hanging="0"/>
              <w:jc w:val="left"/>
              <w:rPr/>
            </w:pPr>
            <w:r>
              <w:rPr/>
              <w:t>​</w:t>
            </w:r>
          </w:p>
        </w:tc>
        <w:tc>
          <w:tcPr>
            <w:tcW w:w="2945"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Six Months Ended</w:t>
            </w:r>
          </w:p>
        </w:tc>
      </w:tr>
      <w:tr>
        <w:trPr/>
        <w:tc>
          <w:tcPr>
            <w:tcW w:w="3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w:t>
            </w:r>
          </w:p>
        </w:tc>
        <w:tc>
          <w:tcPr>
            <w:tcW w:w="346" w:type="dxa"/>
            <w:tcBorders/>
            <w:vAlign w:val="center"/>
          </w:tcPr>
          <w:p>
            <w:pPr>
              <w:pStyle w:val="TableContents"/>
              <w:bidi w:val="0"/>
              <w:spacing w:before="0" w:after="0"/>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w:t>
            </w:r>
          </w:p>
        </w:tc>
      </w:tr>
      <w:tr>
        <w:trPr/>
        <w:tc>
          <w:tcPr>
            <w:tcW w:w="3668"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 except share and per share data)</w:t>
            </w:r>
          </w:p>
        </w:tc>
        <w:tc>
          <w:tcPr>
            <w:tcW w:w="346" w:type="dxa"/>
            <w:tcBorders/>
            <w:vAlign w:val="center"/>
          </w:tcPr>
          <w:p>
            <w:pPr>
              <w:pStyle w:val="TableContents"/>
              <w:bidi w:val="0"/>
              <w:spacing w:before="0" w:after="0"/>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36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243</w:t>
            </w:r>
          </w:p>
        </w:tc>
      </w:tr>
      <w:tr>
        <w:trPr/>
        <w:tc>
          <w:tcPr>
            <w:tcW w:w="36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22,676,673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23,092,469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22,620,546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23,399,848</w:t>
            </w:r>
          </w:p>
        </w:tc>
      </w:tr>
      <w:tr>
        <w:trPr/>
        <w:tc>
          <w:tcPr>
            <w:tcW w:w="36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shares used to compute diluted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23,058,902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23,237,671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23,135,040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23,679,220</w:t>
            </w:r>
          </w:p>
        </w:tc>
      </w:tr>
      <w:tr>
        <w:trPr/>
        <w:tc>
          <w:tcPr>
            <w:tcW w:w="36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per share - 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0.34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0.14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0.27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0.01 </w:t>
            </w:r>
          </w:p>
        </w:tc>
      </w:tr>
      <w:tr>
        <w:trPr/>
        <w:tc>
          <w:tcPr>
            <w:tcW w:w="36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per share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0.34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0.14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0.26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 xml:space="preserve">0.01 </w:t>
            </w:r>
          </w:p>
        </w:tc>
      </w:tr>
    </w:tbl>
    <w:p>
      <w:pPr>
        <w:pStyle w:val="TextBody"/>
        <w:pBdr/>
        <w:shd w:fill="FFFFFF" w:val="clear"/>
        <w:bidi w:val="0"/>
        <w:spacing w:before="0" w:after="0"/>
        <w:ind w:left="0" w:right="0" w:hanging="0"/>
        <w:jc w:val="both"/>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shd w:fill="FFFFFF" w:val="clear"/>
        <w:bidi w:val="0"/>
        <w:spacing w:before="0" w:after="240"/>
        <w:ind w:left="0" w:right="0" w:firstLine="720"/>
        <w:jc w:val="both"/>
        <w:rPr>
          <w:rFonts w:ascii="Arial;Helvetica;sans-serif" w:hAnsi="Arial;Helvetica;sans-serif"/>
          <w:sz w:val="20"/>
        </w:rPr>
      </w:pPr>
      <w:bookmarkStart w:id="1055" w:name="Tc_JiaZ9pRkxku4wQsWc634WQ_8_0"/>
      <w:bookmarkStart w:id="1056" w:name="Tc_YsjEJ3ByvUCmWzF2Nn6FiA_7_8"/>
      <w:bookmarkStart w:id="1057" w:name="Tc_xpPKyVGB50Ow3z8sae9u3w_7_6"/>
      <w:bookmarkStart w:id="1058" w:name="Tc_kiOiGhwZE06pGg-wPizbBQ_7_4"/>
      <w:bookmarkStart w:id="1059" w:name="Tc_m6g_s98nMk2FJyTtH6Jo0w_7_0"/>
      <w:bookmarkStart w:id="1060" w:name="Tc_PPpty5lVhEGNXXJrmG834w_6_6"/>
      <w:bookmarkStart w:id="1061" w:name="Tc_OiLI1Ms130ilEuBBrSp8Kg_6_0"/>
      <w:bookmarkStart w:id="1062" w:name="Tc_02W7Lco670OlgaBvoAG01g_5_0"/>
      <w:bookmarkStart w:id="1063" w:name="Tc_4-NvG8QJd0adxZ9KWpI6gw_4_6"/>
      <w:bookmarkStart w:id="1064" w:name="Tc_5Nfpi5d4E0eI3djI8RjPyw_4_0"/>
      <w:bookmarkStart w:id="1065" w:name="Tc_D3RAbD9DTU-19wcEAfnvMA_3_8"/>
      <w:bookmarkStart w:id="1066" w:name="Tc_0SRe-Q4wWE6njD0FzsN4EA_3_6"/>
      <w:bookmarkStart w:id="1067" w:name="Tc_9hWH55_nYkKEm2zwcQqzmQ_3_4"/>
      <w:bookmarkStart w:id="1068" w:name="Tc_6SyaoNnCIUO5Zmc0ofOTeA_3_2"/>
      <w:bookmarkStart w:id="1069" w:name="Tc_ssNXfHQi4kyO1vdbv6QPIA_2_6"/>
      <w:bookmarkStart w:id="1070" w:name="Tc_29gTc0G5kEqkm2YThv_IQg_2_2"/>
      <w:bookmarkStart w:id="1071" w:name="Tc_kpReEGUKokuBHqRONKPWiQ_1_6"/>
      <w:bookmarkStart w:id="1072" w:name="Tc_a4d2OtpVBU60RmNIqSpuNw_1_2"/>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r>
        <w:rPr>
          <w:rFonts w:ascii="Arial;Helvetica;sans-serif" w:hAnsi="Arial;Helvetica;sans-serif"/>
          <w:sz w:val="20"/>
        </w:rPr>
        <w:t>The following common stock equivalents were excluded from the computation of diluted net income per share for the periods presented because including them would have been anti-dilutive:</w:t>
      </w:r>
    </w:p>
    <w:p>
      <w:pPr>
        <w:pStyle w:val="TextBody"/>
        <w:bidi w:val="0"/>
        <w:spacing w:before="0" w:after="0"/>
        <w:ind w:left="0" w:right="0" w:hanging="0"/>
        <w:jc w:val="left"/>
        <w:rPr/>
      </w:pPr>
      <w:r>
        <w:rPr/>
        <w:t>​</w:t>
      </w:r>
    </w:p>
    <w:tbl>
      <w:tblPr>
        <w:tblW w:w="7809" w:type="dxa"/>
        <w:jc w:val="left"/>
        <w:tblInd w:w="0" w:type="dxa"/>
        <w:tblLayout w:type="fixed"/>
        <w:tblCellMar>
          <w:top w:w="0" w:type="dxa"/>
          <w:left w:w="0" w:type="dxa"/>
          <w:bottom w:w="0" w:type="dxa"/>
          <w:right w:w="0" w:type="dxa"/>
        </w:tblCellMar>
      </w:tblPr>
      <w:tblGrid>
        <w:gridCol w:w="2806"/>
        <w:gridCol w:w="346"/>
        <w:gridCol w:w="796"/>
        <w:gridCol w:w="346"/>
        <w:gridCol w:w="961"/>
        <w:gridCol w:w="346"/>
        <w:gridCol w:w="796"/>
        <w:gridCol w:w="346"/>
        <w:gridCol w:w="106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781810" cy="175260"/>
                      <wp:effectExtent l="0" t="0" r="0" b="0"/>
                      <wp:wrapNone/>
                      <wp:docPr id="212" name="Frame212"/>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05460" cy="175260"/>
                      <wp:effectExtent l="0" t="0" r="0" b="0"/>
                      <wp:wrapNone/>
                      <wp:docPr id="214" name="Frame2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10235" cy="175260"/>
                      <wp:effectExtent l="0" t="0" r="0" b="0"/>
                      <wp:wrapNone/>
                      <wp:docPr id="216" name="Frame21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05460" cy="175260"/>
                      <wp:effectExtent l="0" t="0" r="0" b="0"/>
                      <wp:wrapNone/>
                      <wp:docPr id="218" name="Frame2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76910" cy="175260"/>
                      <wp:effectExtent l="0" t="0" r="0" b="0"/>
                      <wp:wrapNone/>
                      <wp:docPr id="220" name="Frame22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03"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346" w:type="dxa"/>
            <w:tcBorders/>
            <w:vAlign w:val="center"/>
          </w:tcPr>
          <w:p>
            <w:pPr>
              <w:pStyle w:val="TableContents"/>
              <w:bidi w:val="0"/>
              <w:spacing w:before="0" w:after="0"/>
              <w:ind w:left="0" w:right="0" w:hanging="0"/>
              <w:jc w:val="left"/>
              <w:rPr/>
            </w:pPr>
            <w:r>
              <w:rPr/>
              <w:t>​</w:t>
            </w:r>
          </w:p>
        </w:tc>
        <w:tc>
          <w:tcPr>
            <w:tcW w:w="220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Six Months Ended</w: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w:t>
            </w:r>
          </w:p>
        </w:tc>
        <w:tc>
          <w:tcPr>
            <w:tcW w:w="346" w:type="dxa"/>
            <w:tcBorders/>
            <w:vAlign w:val="center"/>
          </w:tcPr>
          <w:p>
            <w:pPr>
              <w:pStyle w:val="TableContents"/>
              <w:bidi w:val="0"/>
              <w:spacing w:before="0" w:after="0"/>
              <w:ind w:left="0" w:right="0" w:hanging="0"/>
              <w:jc w:val="left"/>
              <w:rPr/>
            </w:pPr>
            <w:r>
              <w:rPr/>
              <w:t>​</w:t>
            </w:r>
          </w:p>
        </w:tc>
        <w:tc>
          <w:tcPr>
            <w:tcW w:w="22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w:t>
            </w:r>
          </w:p>
        </w:tc>
      </w:tr>
      <w:tr>
        <w:trPr/>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8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206,886</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616,951</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810,270</w:t>
            </w:r>
          </w:p>
        </w:tc>
      </w:tr>
      <w:tr>
        <w:trPr/>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options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204,999</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245,817</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178,149</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278,078</w:t>
            </w:r>
          </w:p>
        </w:tc>
      </w:tr>
      <w:tr>
        <w:trPr/>
        <w:tc>
          <w:tcPr>
            <w:tcW w:w="28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Performance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89,763</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143,695</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248,399</w:t>
            </w:r>
          </w:p>
        </w:tc>
      </w:tr>
      <w:tr>
        <w:trPr/>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Employee stock purchase plan</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47,494</w:t>
            </w:r>
          </w:p>
        </w:tc>
        <w:tc>
          <w:tcPr>
            <w:tcW w:w="346" w:type="dxa"/>
            <w:tcBorders/>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549,142</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1,006,463</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178,149</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1,336,747</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240"/>
        <w:ind w:left="0" w:right="0" w:hanging="0"/>
        <w:jc w:val="left"/>
        <w:rPr/>
      </w:pPr>
      <w:r>
        <w:rPr/>
        <w:t>​</w:t>
      </w:r>
    </w:p>
    <w:p>
      <w:pPr>
        <w:pStyle w:val="TextBody"/>
        <w:bidi w:val="0"/>
        <w:spacing w:before="0" w:after="240"/>
        <w:ind w:left="0" w:right="0" w:hanging="0"/>
        <w:jc w:val="both"/>
        <w:rPr>
          <w:rFonts w:ascii="Arial;Helvetica;sans-serif" w:hAnsi="Arial;Helvetica;sans-serif"/>
          <w:b/>
          <w:sz w:val="20"/>
        </w:rPr>
      </w:pPr>
      <w:bookmarkStart w:id="1073" w:name="Tc_UXoEjuoef0Kr1JvUWpot9g_10_11"/>
      <w:bookmarkStart w:id="1074" w:name="Tc_RanIoVvPO0-zwB1qAqbdeQ_10_8"/>
      <w:bookmarkStart w:id="1075" w:name="Tc_jQFydl8TOke3NDtF1RmwPQ_10_6"/>
      <w:bookmarkStart w:id="1076" w:name="Tc_k3WvPBPBIU2n73wQPNxNZg_10_5"/>
      <w:bookmarkStart w:id="1077" w:name="Tc_LHbCQoTX1EOOu9B0gv3fkA_10_3"/>
      <w:bookmarkStart w:id="1078" w:name="Tc_7KFNLSB00k2-VVbUdAFEYQ_10_2"/>
      <w:bookmarkStart w:id="1079" w:name="Tc_gR0XE3J-Qkua_M-T03a8ag_10_0"/>
      <w:bookmarkStart w:id="1080" w:name="Tc_aeAij9JoakCh1Jz2Ri7tSw_9_11"/>
      <w:bookmarkStart w:id="1081" w:name="Tc_TRNkUKU4gkSxzd7QYaW4BQ_9_8"/>
      <w:bookmarkStart w:id="1082" w:name="Tc_WfyCZ2APcUSvS6K78kzMbA_9_6"/>
      <w:bookmarkStart w:id="1083" w:name="Tc_9JpP_h0n6UCOPHJekkz3FA_9_3"/>
      <w:bookmarkStart w:id="1084" w:name="Tc_2j7ZEUMl2Uu4BReNbCY-Wg_9_2"/>
      <w:bookmarkStart w:id="1085" w:name="Tc_4W5umkUGXEqEuD9Rv4k08g_9_0"/>
      <w:bookmarkStart w:id="1086" w:name="Tc_6s3tdNgxzEmuFDSbAVecDA_8_0"/>
      <w:bookmarkStart w:id="1087" w:name="Tc_nO6ORqzQVESSSfUsdBDrLw_7_11"/>
      <w:bookmarkStart w:id="1088" w:name="Tc_6yBFKmrE2EeWAQcfe3yo7w_7_8"/>
      <w:bookmarkStart w:id="1089" w:name="Tc_gqLX9ZQYt0utHQRI0238AQ_7_5"/>
      <w:bookmarkStart w:id="1090" w:name="Tc_1XQoKXJ_3kSdMq9KKY-N4Q_7_2"/>
      <w:bookmarkStart w:id="1091" w:name="Tc_2eYSiY0u2kWSKtF0myjR5w_7_0"/>
      <w:bookmarkStart w:id="1092" w:name="Tc_boDtTzIoC0G1ZRz51M80Fg_6_8"/>
      <w:bookmarkStart w:id="1093" w:name="Tc_QyFYenOCtUuhAoANj659_w_6_5"/>
      <w:bookmarkStart w:id="1094" w:name="Tc_S_MIVL-l6EGrQFhnbFZM5w_6_2"/>
      <w:bookmarkStart w:id="1095" w:name="Tc_AUR4NvhjjEGpWIc6x7WwIQ_5_8"/>
      <w:bookmarkStart w:id="1096" w:name="Tc_wo_jBSZkOUikazhEYiK4_A_5_5"/>
      <w:bookmarkStart w:id="1097" w:name="Tc_OswB8m8SOkm89j6pP8U8ng_5_2"/>
      <w:bookmarkStart w:id="1098" w:name="Tc_f25rsU-ZUEWoZo-V14DMxw_4_8"/>
      <w:bookmarkStart w:id="1099" w:name="Tc_KFxTP7EXuEC_de3wIY44lA_4_5"/>
      <w:bookmarkStart w:id="1100" w:name="Tc_T_SemN4mXEebSFjQWfLFgA_4_2"/>
      <w:bookmarkStart w:id="1101" w:name="Tc_mzOIpxhNpUqTkmTJvgHccA_3_5"/>
      <w:bookmarkStart w:id="1102" w:name="Tc_Er4sRAKPskib8mMlC5UuRw_3_2"/>
      <w:bookmarkStart w:id="1103" w:name="Tc_-behsmkuhUek7w-E0WTnRw_2_2"/>
      <w:bookmarkStart w:id="1104" w:name="Tc__rp9FgOxQk6JpwKGe4O1DA_1_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r>
        <w:rPr>
          <w:rFonts w:ascii="Arial;Helvetica;sans-serif" w:hAnsi="Arial;Helvetica;sans-serif"/>
          <w:b/>
          <w:sz w:val="20"/>
        </w:rPr>
        <w:t>Note 14. Fair Value Measurements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We determine the fair value of our assets and liabilities based on the exchange price that would be received for an asset or paid to transfer a liability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We use a fair value hierarchy with three levels of inputs, of which the first two are considered observable and the last unobservable, to measure fair value. The fair value hierarchy gives the highest priority to quoted prices in active markets for identical assets or liabilities (Level 1). The next highest priority is based on quoted prices for similar assets or liabilities in active markets or quoted prices for identical or similar assets or liabilities in non-active markets or other observable inputs (Level 2). The lowest priority is given to unobservable inputs (Level 3).</w:t>
      </w:r>
    </w:p>
    <w:tbl>
      <w:tblPr>
        <w:tblW w:w="1586"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8740" cy="175260"/>
                      <wp:effectExtent l="0" t="0" r="0" b="0"/>
                      <wp:wrapNone/>
                      <wp:docPr id="221" name="Frame22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7790" cy="175260"/>
                      <wp:effectExtent l="0" t="0" r="0" b="0"/>
                      <wp:wrapNone/>
                      <wp:docPr id="233" name="Frame2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carrying amounts of financial instruments such as accounts receivable, other current assets, accounts payable, accrued expenses and other current liabilities approximate their related fair values due to the short-term maturities of these items. Non-financial assets, such as equipment and leasehold improvements, and intangible assets are subject to non-recurring fair value measurements if they are deemed impaired.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information regarding the fair value measurement of our contingent consideration liability as of June 30, 2026, according to the three-level fair value hierarchy:</w:t>
      </w:r>
    </w:p>
    <w:p>
      <w:pPr>
        <w:pStyle w:val="TextBody"/>
        <w:bidi w:val="0"/>
        <w:spacing w:before="0" w:after="0"/>
        <w:ind w:left="0" w:right="0" w:hanging="0"/>
        <w:jc w:val="left"/>
        <w:rPr/>
      </w:pPr>
      <w:r>
        <w:rPr/>
        <w:t>​</w:t>
      </w:r>
    </w:p>
    <w:tbl>
      <w:tblPr>
        <w:tblW w:w="9760" w:type="dxa"/>
        <w:jc w:val="left"/>
        <w:tblInd w:w="0" w:type="dxa"/>
        <w:tblLayout w:type="fixed"/>
        <w:tblCellMar>
          <w:top w:w="0" w:type="dxa"/>
          <w:left w:w="0" w:type="dxa"/>
          <w:bottom w:w="0" w:type="dxa"/>
          <w:right w:w="0" w:type="dxa"/>
        </w:tblCellMar>
      </w:tblPr>
      <w:tblGrid>
        <w:gridCol w:w="3511"/>
        <w:gridCol w:w="346"/>
        <w:gridCol w:w="540"/>
        <w:gridCol w:w="886"/>
        <w:gridCol w:w="346"/>
        <w:gridCol w:w="437"/>
        <w:gridCol w:w="719"/>
        <w:gridCol w:w="346"/>
        <w:gridCol w:w="365"/>
        <w:gridCol w:w="1016"/>
        <w:gridCol w:w="346"/>
        <w:gridCol w:w="211"/>
        <w:gridCol w:w="69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229485" cy="175260"/>
                      <wp:effectExtent l="0" t="0" r="0" b="0"/>
                      <wp:wrapNone/>
                      <wp:docPr id="234" name="Frame234"/>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42900" cy="175260"/>
                      <wp:effectExtent l="0" t="0" r="0" b="0"/>
                      <wp:wrapNone/>
                      <wp:docPr id="236" name="Frame23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62610" cy="175260"/>
                      <wp:effectExtent l="0" t="0" r="0" b="0"/>
                      <wp:wrapNone/>
                      <wp:docPr id="237" name="Frame2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77495" cy="175260"/>
                      <wp:effectExtent l="0" t="0" r="0" b="0"/>
                      <wp:wrapNone/>
                      <wp:docPr id="239" name="Frame239"/>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56565" cy="175260"/>
                      <wp:effectExtent l="0" t="0" r="0" b="0"/>
                      <wp:wrapNone/>
                      <wp:docPr id="240" name="Frame240"/>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31775" cy="175260"/>
                      <wp:effectExtent l="0" t="0" r="0" b="0"/>
                      <wp:wrapNone/>
                      <wp:docPr id="242" name="Frame24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5160" cy="175260"/>
                      <wp:effectExtent l="0" t="0" r="0" b="0"/>
                      <wp:wrapNone/>
                      <wp:docPr id="243" name="Frame243"/>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785" cy="175260"/>
                      <wp:effectExtent l="0" t="0" r="0" b="0"/>
                      <wp:wrapNone/>
                      <wp:docPr id="246" name="Frame2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0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At June 30, 2026</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2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Quoted Prices</w:t>
            </w:r>
          </w:p>
        </w:tc>
        <w:tc>
          <w:tcPr>
            <w:tcW w:w="346" w:type="dxa"/>
            <w:tcBorders/>
            <w:vAlign w:val="center"/>
          </w:tcPr>
          <w:p>
            <w:pPr>
              <w:pStyle w:val="TableContents"/>
              <w:bidi w:val="0"/>
              <w:spacing w:before="0" w:after="0"/>
              <w:ind w:left="0" w:right="0" w:hanging="0"/>
              <w:jc w:val="left"/>
              <w:rPr/>
            </w:pPr>
            <w:r>
              <w:rPr/>
              <w:t>  ​ ​ ​</w:t>
            </w:r>
          </w:p>
        </w:tc>
        <w:tc>
          <w:tcPr>
            <w:tcW w:w="43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65"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Active</w:t>
            </w:r>
          </w:p>
        </w:tc>
        <w:tc>
          <w:tcPr>
            <w:tcW w:w="346"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Significant</w:t>
            </w:r>
          </w:p>
        </w:tc>
        <w:tc>
          <w:tcPr>
            <w:tcW w:w="34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Markets for</w:t>
            </w:r>
          </w:p>
        </w:tc>
        <w:tc>
          <w:tcPr>
            <w:tcW w:w="346"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Other</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Significant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Identical</w:t>
            </w:r>
          </w:p>
        </w:tc>
        <w:tc>
          <w:tcPr>
            <w:tcW w:w="346"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Observable</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Unobservable</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Assets</w:t>
            </w:r>
          </w:p>
        </w:tc>
        <w:tc>
          <w:tcPr>
            <w:tcW w:w="346"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Inputs</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Inputs</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pPr>
            <w:r>
              <w:rPr/>
              <w:t>​</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0" w:after="0"/>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(Level 1)</w:t>
            </w:r>
          </w:p>
        </w:tc>
        <w:tc>
          <w:tcPr>
            <w:tcW w:w="346"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(Level 2)</w:t>
            </w:r>
          </w:p>
        </w:tc>
        <w:tc>
          <w:tcPr>
            <w:tcW w:w="346" w:type="dxa"/>
            <w:tcBorders/>
            <w:vAlign w:val="center"/>
          </w:tcPr>
          <w:p>
            <w:pPr>
              <w:pStyle w:val="TableContents"/>
              <w:bidi w:val="0"/>
              <w:spacing w:before="0" w:after="0"/>
              <w:ind w:left="0" w:right="0" w:hanging="0"/>
              <w:jc w:val="left"/>
              <w:rPr/>
            </w:pPr>
            <w:r>
              <w:rPr/>
              <w:t>​</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(Level 3)</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51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Recurring Fair Value Measurements:</w:t>
            </w:r>
          </w:p>
        </w:tc>
        <w:tc>
          <w:tcPr>
            <w:tcW w:w="346"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4,863</w:t>
            </w:r>
          </w:p>
        </w:tc>
      </w:tr>
      <w:tr>
        <w:trPr/>
        <w:tc>
          <w:tcPr>
            <w:tcW w:w="35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5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4,863</w:t>
            </w:r>
          </w:p>
        </w:tc>
      </w:tr>
    </w:tbl>
    <w:p>
      <w:pPr>
        <w:pStyle w:val="TextBody"/>
        <w:bidi w:val="0"/>
        <w:spacing w:before="0" w:after="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See Note 15 – “Business Combination” for additional information regarding this contingent consideration liability.</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0" w:after="240"/>
        <w:ind w:left="0" w:right="0" w:hanging="0"/>
        <w:jc w:val="both"/>
        <w:rPr>
          <w:rFonts w:ascii="Arial;Helvetica;sans-serif" w:hAnsi="Arial;Helvetica;sans-serif"/>
          <w:b/>
          <w:sz w:val="20"/>
        </w:rPr>
      </w:pPr>
      <w:bookmarkStart w:id="1105" w:name="Tc_n-R2sCNTMEqC3nefN6gJ9A_4_2"/>
      <w:bookmarkStart w:id="1106" w:name="Tc_WgzhXOSlC0q4oRZk_j1y_w_4_0"/>
      <w:bookmarkStart w:id="1107" w:name="Tc_QxImcDv2uU6x09DCHGcE4w_3_0"/>
      <w:bookmarkStart w:id="1108" w:name="Tc_cITEyVBJFUufBRkG5EQ8ww_2_2"/>
      <w:bookmarkStart w:id="1109" w:name="Tc_P3wRFMcva02slTqAN8LPCQ_2_0"/>
      <w:bookmarkStart w:id="1110" w:name="Tc_MQZSvF_5c0-HQXCbekYDWw_1_2"/>
      <w:bookmarkStart w:id="1111" w:name="Tc_0uzYqRlffki7lXLao3jtIw_1_0"/>
      <w:bookmarkEnd w:id="1105"/>
      <w:bookmarkEnd w:id="1106"/>
      <w:bookmarkEnd w:id="1107"/>
      <w:bookmarkEnd w:id="1108"/>
      <w:bookmarkEnd w:id="1109"/>
      <w:bookmarkEnd w:id="1110"/>
      <w:bookmarkEnd w:id="1111"/>
      <w:r>
        <w:rPr>
          <w:rFonts w:ascii="Arial;Helvetica;sans-serif" w:hAnsi="Arial;Helvetica;sans-serif"/>
          <w:b/>
          <w:sz w:val="20"/>
        </w:rPr>
        <w:t>Note 15. Business Combination</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On February 17, 2026, we acquired all outstanding equity interests of LymphaTech pursuant to the Stock Purchase Agreement, dated as of February 17, 2026. LymphaTech is a medical technology company pioneering a digital, three-dimensional (the “3D”) full body measurement and monitoring platform designed specifically for lymphedema. We acquired LymphaTech to further expand our position as a leader in treating lymphedema by extending our solutions across the care continuum, including earlier identification, assessment, and long</w:t>
      </w:r>
      <w:r>
        <w:rPr>
          <w:rFonts w:ascii="Times New Roman;Times;serif" w:hAnsi="Times New Roman;Times;serif"/>
          <w:sz w:val="20"/>
        </w:rPr>
        <w:noBreakHyphen/>
      </w:r>
      <w:r>
        <w:rPr>
          <w:rFonts w:ascii="Arial;Helvetica;sans-serif" w:hAnsi="Arial;Helvetica;sans-serif"/>
          <w:sz w:val="20"/>
        </w:rPr>
        <w:t>term monitoring.</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The total purchase consideration for LymphaTech payable at closing, on a cash-free, debt-free basis, was approximately $7.2</w:t>
      </w:r>
      <w:r>
        <w:rPr>
          <w:rFonts w:ascii="Times New Roman;Times;serif" w:hAnsi="Times New Roman;Times;serif"/>
          <w:sz w:val="20"/>
        </w:rPr>
        <w:t xml:space="preserve"> </w:t>
      </w:r>
      <w:r>
        <w:rPr>
          <w:rFonts w:ascii="Arial;Helvetica;sans-serif" w:hAnsi="Arial;Helvetica;sans-serif"/>
          <w:sz w:val="20"/>
        </w:rPr>
        <w:t>million. Each holder of issued and outstanding shares of LymphaTech capital stock received their pro rata portion (based on their relative ownership percentage) of the consideration paid at closing, less $0.2</w:t>
      </w:r>
      <w:r>
        <w:rPr>
          <w:rFonts w:ascii="Times New Roman;Times;serif" w:hAnsi="Times New Roman;Times;serif"/>
          <w:sz w:val="20"/>
        </w:rPr>
        <w:t xml:space="preserve"> </w:t>
      </w:r>
      <w:r>
        <w:rPr>
          <w:rFonts w:ascii="Arial;Helvetica;sans-serif" w:hAnsi="Arial;Helvetica;sans-serif"/>
          <w:sz w:val="20"/>
        </w:rPr>
        <w:t>million, which was utilized to pay the sellers’ transaction expenses. The other component of purchase consideration is contingent consideration based on the achievement of non-financial milestones after closing, which contingent consideration had an estimated fair value of approximately $4.9</w:t>
      </w:r>
      <w:r>
        <w:rPr>
          <w:rFonts w:ascii="Times New Roman;Times;serif" w:hAnsi="Times New Roman;Times;serif"/>
          <w:sz w:val="20"/>
        </w:rPr>
        <w:t xml:space="preserve"> </w:t>
      </w:r>
      <w:r>
        <w:rPr>
          <w:rFonts w:ascii="Arial;Helvetica;sans-serif" w:hAnsi="Arial;Helvetica;sans-serif"/>
          <w:sz w:val="20"/>
        </w:rPr>
        <w:t>million as of the acquisition date.</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The acquisition date fair value of contingent consideration was measured using the income approach, specifically the probability weighted expected return method for the milestone payments. We will remeasure the fair value of the contingent liability on a quarterly basis. Estimates and assumptions used in the valuation include the probability of achieving these non-financial milestones, the expected timing of achieving these milestones, and a discount rate. These unobservable inputs represent a Level 3 measurement because they are supported by little or no market activity and reflect our own assumptions in measuring fair value. Any changes in the fair value subsequent to the acquisition date will be recognized in our consolidated statements of operations. There was no</w:t>
      </w:r>
      <w:r>
        <w:rPr>
          <w:rFonts w:ascii="Times New Roman;Times;serif" w:hAnsi="Times New Roman;Times;serif"/>
          <w:sz w:val="20"/>
        </w:rPr>
        <w:t xml:space="preserve"> </w:t>
      </w:r>
      <w:r>
        <w:rPr>
          <w:rFonts w:ascii="Arial;Helvetica;sans-serif" w:hAnsi="Arial;Helvetica;sans-serif"/>
          <w:sz w:val="20"/>
        </w:rPr>
        <w:t>change in fair value for contingent consideration as of June 30, 2026.</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acquisition of LymphaTech was funded by cash on hand. We recognized transaction costs of $0.8 million in the six months ended June 30, 2026. These costs are reported in Reimbursement, general and administrative expenses in our Condensed Consolidated Statements of Operations. Transaction costs include, but are not limited to, investment banker, advisory, legal, and other professional fees.</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reflects the allocation of the purchase consideration between the amount paid at closing and the contingent consideration:</w:t>
      </w:r>
    </w:p>
    <w:p>
      <w:pPr>
        <w:pStyle w:val="TextBody"/>
        <w:bidi w:val="0"/>
        <w:spacing w:before="0" w:after="0"/>
        <w:ind w:left="0" w:right="0" w:hanging="0"/>
        <w:jc w:val="left"/>
        <w:rPr/>
      </w:pPr>
      <w:r>
        <w:rPr/>
        <w:t>​</w:t>
      </w:r>
    </w:p>
    <w:tbl>
      <w:tblPr>
        <w:tblW w:w="8012" w:type="dxa"/>
        <w:jc w:val="left"/>
        <w:tblInd w:w="0" w:type="dxa"/>
        <w:tblLayout w:type="fixed"/>
        <w:tblCellMar>
          <w:top w:w="0" w:type="dxa"/>
          <w:left w:w="0" w:type="dxa"/>
          <w:bottom w:w="0" w:type="dxa"/>
          <w:right w:w="0" w:type="dxa"/>
        </w:tblCellMar>
      </w:tblPr>
      <w:tblGrid>
        <w:gridCol w:w="5281"/>
        <w:gridCol w:w="346"/>
        <w:gridCol w:w="494"/>
        <w:gridCol w:w="1891"/>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353435" cy="175260"/>
                      <wp:effectExtent l="0" t="0" r="0" b="0"/>
                      <wp:wrapNone/>
                      <wp:docPr id="247" name="Frame247"/>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13690" cy="175260"/>
                      <wp:effectExtent l="0" t="0" r="0" b="0"/>
                      <wp:wrapNone/>
                      <wp:docPr id="249" name="Frame249"/>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00785" cy="175260"/>
                      <wp:effectExtent l="0" t="0" r="0" b="0"/>
                      <wp:wrapNone/>
                      <wp:docPr id="250" name="Frame250"/>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0" w:after="0"/>
              <w:ind w:left="0" w:right="0" w:hanging="0"/>
              <w:jc w:val="left"/>
              <w:rPr/>
            </w:pPr>
            <w:r>
              <w:rPr/>
              <w:t>  ​ ​ ​</w:t>
            </w:r>
          </w:p>
        </w:tc>
        <w:tc>
          <w:tcPr>
            <w:tcW w:w="2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Purchase Consideration</w:t>
            </w:r>
          </w:p>
        </w:tc>
      </w:tr>
      <w:tr>
        <w:trPr/>
        <w:tc>
          <w:tcPr>
            <w:tcW w:w="52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consideration payments to LymphaTech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7,230</w:t>
            </w:r>
          </w:p>
        </w:tc>
      </w:tr>
      <w:tr>
        <w:trPr/>
        <w:tc>
          <w:tcPr>
            <w:tcW w:w="52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Estimated fair value of contingent consideration</w:t>
            </w:r>
          </w:p>
        </w:tc>
        <w:tc>
          <w:tcPr>
            <w:tcW w:w="346" w:type="dxa"/>
            <w:tcBorders/>
            <w:vAlign w:val="center"/>
          </w:tcPr>
          <w:p>
            <w:pPr>
              <w:pStyle w:val="TableContents"/>
              <w:bidi w:val="0"/>
              <w:spacing w:before="0" w:after="0"/>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4,863</w:t>
            </w:r>
          </w:p>
        </w:tc>
      </w:tr>
      <w:tr>
        <w:trPr/>
        <w:tc>
          <w:tcPr>
            <w:tcW w:w="528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purchase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4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8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12,093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Fair Value of Assets Acquired and Liabilities Assumed</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acquisition of LymphaTech has been accounted for using the acquisition method of accounting in accordance with ASC 805, Business Combinations, with the Company treated as the accounting acquirer, which requires, among other things, that the assets acquired and liabilities assumed be recognized at their fair value on the acquisition date. Acquisition accounting is dependent upon certain valuations and other studies that have yet to commence or progress to a stage where there is sufficient information for a definitive measurement. The process for estimating the fair values of identifiable intangible assets and certain tangible assets and assumed liabilities requires the use of judgment in determining the appropriate assumptions and estimates.</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The purchase price allocation for the LymphaTech acquisition is considered final as of June 30, 2026. The table below presents the estimated fair values of assets acquired and liabilities assumed on the acquisition date based on valuations and management estimates.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our results of operations.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Normal"/>
        <w:bidi w:val="0"/>
        <w:spacing w:before="0" w:after="0"/>
        <w:jc w:val="left"/>
        <w:rPr>
          <w:sz w:val="4"/>
          <w:szCs w:val="4"/>
        </w:rPr>
      </w:pPr>
      <w:r>
        <w:rPr>
          <w:sz w:val="4"/>
          <w:szCs w:val="4"/>
        </w:rPr>
      </w:r>
      <w:bookmarkStart w:id="1112" w:name="Tc_HJfKR0_g00aNWz7q3ss2Kw_5_2"/>
      <w:bookmarkStart w:id="1113" w:name="Tc_Xh8MZOYQZ0errK7Cqa--yw_5_0"/>
      <w:bookmarkStart w:id="1114" w:name="Tc_hJ0Bm26l5kKBCAqmW5awUw_4_0"/>
      <w:bookmarkStart w:id="1115" w:name="Tc_9v02GUFV4Eu4nbBDWwmd8w_3_0"/>
      <w:bookmarkStart w:id="1116" w:name="Tc_5_jcD04kb02zHmGsONXZAg_2_2"/>
      <w:bookmarkStart w:id="1117" w:name="Tc_8ve8m7nOuUKDhoDxMdPhTw_2_0"/>
      <w:bookmarkStart w:id="1118" w:name="Tc_mxTFq4hQa0Oet9BQ0VsROg_1_5"/>
      <w:bookmarkStart w:id="1119" w:name="Tc_f1kb2oAI4EyoIiu2NZWIlg_1_2"/>
      <w:bookmarkStart w:id="1120" w:name="Tc_dl7ADWabn06gPN99-ULYbw_1_0"/>
      <w:bookmarkStart w:id="1121" w:name="_46783f58_2207_4118_9046_2a2c8dc48c0d"/>
      <w:bookmarkStart w:id="1122" w:name="Tc_iIyUVx3UxEib-moRMVJyiw_23_2"/>
      <w:bookmarkStart w:id="1123" w:name="Tc_jnU47In0Gkmm9WDyGfd04A_23_0"/>
      <w:bookmarkStart w:id="1124" w:name="Tc_o88sGRdqmk-vFaxMoYv-hQ_21_2"/>
      <w:bookmarkStart w:id="1125" w:name="Tc_IYO-MR8vwUORDUO-hmbSow_21_0"/>
      <w:bookmarkStart w:id="1126" w:name="Tc_1_LoEDnKoUmFKBt1L5RjXw_20_0"/>
      <w:bookmarkStart w:id="1127" w:name="Tc_mKWnPXCyOE61NbOcrrXQ7Q_19_0"/>
      <w:bookmarkStart w:id="1128" w:name="Tc_uayXkyFXiUC4ABv3TBfHhw_18_0"/>
      <w:bookmarkStart w:id="1129" w:name="Tc_wyRzo2Cg_06Q7-l0Pscl5w_17_0"/>
      <w:bookmarkStart w:id="1130" w:name="Tc_HIAgLLxxJEijP5NbnmR_XQ_16_0"/>
      <w:bookmarkStart w:id="1131" w:name="Tc_eL7Eb0nhvUOp0jab3F8AEw_15_2"/>
      <w:bookmarkStart w:id="1132" w:name="Tc_DZ8kjF7_CE2WGIQ1eQa38A_15_0"/>
      <w:bookmarkStart w:id="1133" w:name="Tc_-esnMo9owU25gIU-qxlMpg_14_0"/>
      <w:bookmarkStart w:id="1134" w:name="Tc_UZ4pWt_H80eYF9OgTv7I3Q_13_0"/>
      <w:bookmarkStart w:id="1135" w:name="Tc_NN6tIwkqEkimhwIz2pJCpg_12_2"/>
      <w:bookmarkStart w:id="1136" w:name="Tc_gNzvi4OQ60WZ1mIKTDOpXg_12_0"/>
      <w:bookmarkStart w:id="1137" w:name="Tc_ZtcBWCDQikuyIo3PQ9puoQ_11_0"/>
      <w:bookmarkStart w:id="1138" w:name="Tc_lsGm0kKf9EuVKunE7JA5Wg_10_0"/>
      <w:bookmarkStart w:id="1139" w:name="Tc_BeF4t4yOZ0yL-v96hC8-kA_9_0"/>
      <w:bookmarkStart w:id="1140" w:name="Tc_XLFCovG1nUKJ8varkodq4w_8_0"/>
      <w:bookmarkStart w:id="1141" w:name="Tc_gGZNINCyw0K5PJ4wjVo0yQ_7_0"/>
      <w:bookmarkStart w:id="1142" w:name="Tc_r_p3aGkifkKbzV7dE33kUg_6_0"/>
      <w:bookmarkStart w:id="1143" w:name="Tc_6Pm0D2-zvEiLZYNCN-fMKw_5_2"/>
      <w:bookmarkStart w:id="1144" w:name="Tc_Opim54sJEkmxiZlb8Vx8zw_5_0"/>
      <w:bookmarkStart w:id="1145" w:name="Tc_vVVBfsrl9kGsKYxeZd7lTQ_4_0"/>
      <w:bookmarkStart w:id="1146" w:name="Tc_7H0d5i1lWk2OTvgmFM0f5w_3_0"/>
      <w:bookmarkStart w:id="1147" w:name="Tc_zUZXesXkWU-xEKg_9gEYlw_2_2"/>
      <w:bookmarkStart w:id="1148" w:name="Tc_qsN1zFJdpkaP4AVTIDj6lg_2_0"/>
      <w:bookmarkStart w:id="1149" w:name="_6b7231be_2850_451e_a7aa_6bacbd5b6fb3"/>
      <w:bookmarkStart w:id="1150" w:name="Tc_HJfKR0_g00aNWz7q3ss2Kw_5_2"/>
      <w:bookmarkStart w:id="1151" w:name="Tc_Xh8MZOYQZ0errK7Cqa--yw_5_0"/>
      <w:bookmarkStart w:id="1152" w:name="Tc_hJ0Bm26l5kKBCAqmW5awUw_4_0"/>
      <w:bookmarkStart w:id="1153" w:name="Tc_9v02GUFV4Eu4nbBDWwmd8w_3_0"/>
      <w:bookmarkStart w:id="1154" w:name="Tc_5_jcD04kb02zHmGsONXZAg_2_2"/>
      <w:bookmarkStart w:id="1155" w:name="Tc_8ve8m7nOuUKDhoDxMdPhTw_2_0"/>
      <w:bookmarkStart w:id="1156" w:name="Tc_mxTFq4hQa0Oet9BQ0VsROg_1_5"/>
      <w:bookmarkStart w:id="1157" w:name="Tc_f1kb2oAI4EyoIiu2NZWIlg_1_2"/>
      <w:bookmarkStart w:id="1158" w:name="Tc_dl7ADWabn06gPN99-ULYbw_1_0"/>
      <w:bookmarkStart w:id="1159" w:name="_46783f58_2207_4118_9046_2a2c8dc48c0d"/>
      <w:bookmarkStart w:id="1160" w:name="Tc_iIyUVx3UxEib-moRMVJyiw_23_2"/>
      <w:bookmarkStart w:id="1161" w:name="Tc_jnU47In0Gkmm9WDyGfd04A_23_0"/>
      <w:bookmarkStart w:id="1162" w:name="Tc_o88sGRdqmk-vFaxMoYv-hQ_21_2"/>
      <w:bookmarkStart w:id="1163" w:name="Tc_IYO-MR8vwUORDUO-hmbSow_21_0"/>
      <w:bookmarkStart w:id="1164" w:name="Tc_1_LoEDnKoUmFKBt1L5RjXw_20_0"/>
      <w:bookmarkStart w:id="1165" w:name="Tc_mKWnPXCyOE61NbOcrrXQ7Q_19_0"/>
      <w:bookmarkStart w:id="1166" w:name="Tc_uayXkyFXiUC4ABv3TBfHhw_18_0"/>
      <w:bookmarkStart w:id="1167" w:name="Tc_wyRzo2Cg_06Q7-l0Pscl5w_17_0"/>
      <w:bookmarkStart w:id="1168" w:name="Tc_HIAgLLxxJEijP5NbnmR_XQ_16_0"/>
      <w:bookmarkStart w:id="1169" w:name="Tc_eL7Eb0nhvUOp0jab3F8AEw_15_2"/>
      <w:bookmarkStart w:id="1170" w:name="Tc_DZ8kjF7_CE2WGIQ1eQa38A_15_0"/>
      <w:bookmarkStart w:id="1171" w:name="Tc_-esnMo9owU25gIU-qxlMpg_14_0"/>
      <w:bookmarkStart w:id="1172" w:name="Tc_UZ4pWt_H80eYF9OgTv7I3Q_13_0"/>
      <w:bookmarkStart w:id="1173" w:name="Tc_NN6tIwkqEkimhwIz2pJCpg_12_2"/>
      <w:bookmarkStart w:id="1174" w:name="Tc_gNzvi4OQ60WZ1mIKTDOpXg_12_0"/>
      <w:bookmarkStart w:id="1175" w:name="Tc_ZtcBWCDQikuyIo3PQ9puoQ_11_0"/>
      <w:bookmarkStart w:id="1176" w:name="Tc_lsGm0kKf9EuVKunE7JA5Wg_10_0"/>
      <w:bookmarkStart w:id="1177" w:name="Tc_BeF4t4yOZ0yL-v96hC8-kA_9_0"/>
      <w:bookmarkStart w:id="1178" w:name="Tc_XLFCovG1nUKJ8varkodq4w_8_0"/>
      <w:bookmarkStart w:id="1179" w:name="Tc_gGZNINCyw0K5PJ4wjVo0yQ_7_0"/>
      <w:bookmarkStart w:id="1180" w:name="Tc_r_p3aGkifkKbzV7dE33kUg_6_0"/>
      <w:bookmarkStart w:id="1181" w:name="Tc_6Pm0D2-zvEiLZYNCN-fMKw_5_2"/>
      <w:bookmarkStart w:id="1182" w:name="Tc_Opim54sJEkmxiZlb8Vx8zw_5_0"/>
      <w:bookmarkStart w:id="1183" w:name="Tc_vVVBfsrl9kGsKYxeZd7lTQ_4_0"/>
      <w:bookmarkStart w:id="1184" w:name="Tc_7H0d5i1lWk2OTvgmFM0f5w_3_0"/>
      <w:bookmarkStart w:id="1185" w:name="Tc_zUZXesXkWU-xEKg_9gEYlw_2_2"/>
      <w:bookmarkStart w:id="1186" w:name="Tc_qsN1zFJdpkaP4AVTIDj6lg_2_0"/>
      <w:bookmarkStart w:id="1187" w:name="_6b7231be_2850_451e_a7aa_6bacbd5b6fb3"/>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p>
    <w:tbl>
      <w:tblPr>
        <w:tblW w:w="6512" w:type="dxa"/>
        <w:jc w:val="left"/>
        <w:tblInd w:w="0" w:type="dxa"/>
        <w:tblLayout w:type="fixed"/>
        <w:tblCellMar>
          <w:top w:w="0" w:type="dxa"/>
          <w:left w:w="0" w:type="dxa"/>
          <w:bottom w:w="0" w:type="dxa"/>
          <w:right w:w="0" w:type="dxa"/>
        </w:tblCellMar>
      </w:tblPr>
      <w:tblGrid>
        <w:gridCol w:w="4081"/>
        <w:gridCol w:w="346"/>
        <w:gridCol w:w="432"/>
        <w:gridCol w:w="1653"/>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591435" cy="175895"/>
                      <wp:effectExtent l="0" t="0" r="0" b="0"/>
                      <wp:wrapNone/>
                      <wp:docPr id="251" name="Frame251"/>
                      <a:graphic xmlns:a="http://schemas.openxmlformats.org/drawingml/2006/main">
                        <a:graphicData uri="http://schemas.microsoft.com/office/word/2010/wordprocessingShape">
                          <wps:wsp>
                            <wps:cNvSpPr txBox="1"/>
                            <wps:spPr>
                              <a:xfrm>
                                <a:off x="0" y="0"/>
                                <a:ext cx="2591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895"/>
                      <wp:effectExtent l="0" t="0" r="0" b="0"/>
                      <wp:wrapNone/>
                      <wp:docPr id="252" name="Frame25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74320" cy="175895"/>
                      <wp:effectExtent l="0" t="0" r="0" b="0"/>
                      <wp:wrapNone/>
                      <wp:docPr id="253" name="Frame253"/>
                      <a:graphic xmlns:a="http://schemas.openxmlformats.org/drawingml/2006/main">
                        <a:graphicData uri="http://schemas.microsoft.com/office/word/2010/wordprocessingShape">
                          <wps:wsp>
                            <wps:cNvSpPr txBox="1"/>
                            <wps:spPr>
                              <a:xfrm>
                                <a:off x="0" y="0"/>
                                <a:ext cx="2743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049655" cy="175895"/>
                      <wp:effectExtent l="0" t="0" r="0" b="0"/>
                      <wp:wrapNone/>
                      <wp:docPr id="254" name="Frame254"/>
                      <a:graphic xmlns:a="http://schemas.openxmlformats.org/drawingml/2006/main">
                        <a:graphicData uri="http://schemas.microsoft.com/office/word/2010/wordprocessingShape">
                          <wps:wsp>
                            <wps:cNvSpPr txBox="1"/>
                            <wps:spPr>
                              <a:xfrm>
                                <a:off x="0" y="0"/>
                                <a:ext cx="10496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427" w:type="dxa"/>
            <w:gridSpan w:val="2"/>
            <w:tcBorders/>
            <w:vAlign w:val="center"/>
          </w:tcPr>
          <w:p>
            <w:pPr>
              <w:pStyle w:val="TableContents"/>
              <w:bidi w:val="0"/>
              <w:spacing w:before="1" w:after="1"/>
              <w:ind w:left="0" w:right="0" w:hanging="0"/>
              <w:jc w:val="center"/>
              <w:rPr/>
            </w:pPr>
            <w:r>
              <w:rPr/>
              <w:t>​</w:t>
            </w:r>
          </w:p>
        </w:tc>
        <w:tc>
          <w:tcPr>
            <w:tcW w:w="432" w:type="dxa"/>
            <w:tcBorders/>
            <w:vAlign w:val="center"/>
          </w:tcPr>
          <w:p>
            <w:pPr>
              <w:pStyle w:val="TableContents"/>
              <w:bidi w:val="0"/>
              <w:spacing w:before="1" w:after="1"/>
              <w:ind w:left="0" w:right="0" w:hanging="0"/>
              <w:jc w:val="left"/>
              <w:rPr/>
            </w:pPr>
            <w:r>
              <w:rPr/>
              <w:t>​</w:t>
            </w:r>
          </w:p>
        </w:tc>
        <w:tc>
          <w:tcPr>
            <w:tcW w:w="1653" w:type="dxa"/>
            <w:tcBorders/>
            <w:vAlign w:val="center"/>
          </w:tcPr>
          <w:p>
            <w:pPr>
              <w:pStyle w:val="TableContents"/>
              <w:bidi w:val="0"/>
              <w:spacing w:before="1" w:after="1"/>
              <w:ind w:left="0" w:right="0" w:hanging="0"/>
              <w:jc w:val="left"/>
              <w:rPr/>
            </w:pPr>
            <w:r>
              <w:rPr/>
              <w:t>​</w:t>
            </w:r>
          </w:p>
        </w:tc>
      </w:tr>
      <w:tr>
        <w:trPr/>
        <w:tc>
          <w:tcPr>
            <w:tcW w:w="4081"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center"/>
              <w:rPr/>
            </w:pPr>
            <w:r>
              <w:rPr/>
              <w:t>  ​ ​ ​</w:t>
            </w:r>
          </w:p>
        </w:tc>
        <w:tc>
          <w:tcPr>
            <w:tcW w:w="208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Estimated Fair Value</w:t>
            </w:r>
          </w:p>
        </w:tc>
      </w:tr>
      <w:tr>
        <w:trPr/>
        <w:tc>
          <w:tcPr>
            <w:tcW w:w="4427" w:type="dxa"/>
            <w:gridSpan w:val="2"/>
            <w:tcBorders/>
            <w:shd w:fill="CCEEFF" w:val="clear"/>
            <w:vAlign w:val="center"/>
          </w:tcPr>
          <w:p>
            <w:pPr>
              <w:pStyle w:val="TableContents"/>
              <w:bidi w:val="0"/>
              <w:spacing w:before="1" w:after="1"/>
              <w:ind w:left="0" w:right="0" w:hanging="0"/>
              <w:jc w:val="left"/>
              <w:rPr>
                <w:rFonts w:ascii="Arial;Helvetica;sans-serif" w:hAnsi="Arial;Helvetica;sans-serif"/>
                <w:b/>
                <w:i/>
                <w:sz w:val="20"/>
              </w:rPr>
            </w:pPr>
            <w:r>
              <w:rPr>
                <w:rFonts w:ascii="Arial;Helvetica;sans-serif" w:hAnsi="Arial;Helvetica;sans-serif"/>
                <w:b/>
                <w:i/>
                <w:sz w:val="20"/>
              </w:rPr>
              <w:t>Assets</w:t>
            </w:r>
          </w:p>
        </w:tc>
        <w:tc>
          <w:tcPr>
            <w:tcW w:w="432" w:type="dxa"/>
            <w:tcBorders/>
            <w:shd w:fill="CCEEFF" w:val="clear"/>
            <w:vAlign w:val="center"/>
          </w:tcPr>
          <w:p>
            <w:pPr>
              <w:pStyle w:val="TableContents"/>
              <w:bidi w:val="0"/>
              <w:spacing w:before="1" w:after="1"/>
              <w:ind w:left="0" w:right="0" w:hanging="0"/>
              <w:jc w:val="center"/>
              <w:rPr/>
            </w:pPr>
            <w:r>
              <w:rPr/>
              <w:t>​</w:t>
            </w:r>
          </w:p>
        </w:tc>
        <w:tc>
          <w:tcPr>
            <w:tcW w:w="1653" w:type="dxa"/>
            <w:tcBorders/>
            <w:shd w:fill="CCEEFF" w:val="clear"/>
            <w:vAlign w:val="center"/>
          </w:tcPr>
          <w:p>
            <w:pPr>
              <w:pStyle w:val="TableContents"/>
              <w:bidi w:val="0"/>
              <w:spacing w:before="1" w:after="1"/>
              <w:ind w:left="0" w:right="0" w:hanging="0"/>
              <w:jc w:val="center"/>
              <w:rPr/>
            </w:pPr>
            <w:r>
              <w:rPr/>
              <w:t>​</w:t>
            </w:r>
          </w:p>
        </w:tc>
      </w:tr>
      <w:tr>
        <w:trPr/>
        <w:tc>
          <w:tcPr>
            <w:tcW w:w="4427" w:type="dxa"/>
            <w:gridSpan w:val="2"/>
            <w:tcBorders/>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Current assets</w:t>
            </w:r>
          </w:p>
        </w:tc>
        <w:tc>
          <w:tcPr>
            <w:tcW w:w="432" w:type="dxa"/>
            <w:tcBorders/>
            <w:vAlign w:val="center"/>
          </w:tcPr>
          <w:p>
            <w:pPr>
              <w:pStyle w:val="TableContents"/>
              <w:bidi w:val="0"/>
              <w:spacing w:before="1" w:after="1"/>
              <w:ind w:left="0" w:right="0" w:hanging="0"/>
              <w:jc w:val="center"/>
              <w:rPr/>
            </w:pPr>
            <w:r>
              <w:rPr/>
              <w:t>​</w:t>
            </w:r>
          </w:p>
        </w:tc>
        <w:tc>
          <w:tcPr>
            <w:tcW w:w="1653" w:type="dxa"/>
            <w:tcBorders/>
            <w:vAlign w:val="center"/>
          </w:tcPr>
          <w:p>
            <w:pPr>
              <w:pStyle w:val="TableContents"/>
              <w:bidi w:val="0"/>
              <w:spacing w:before="1" w:after="1"/>
              <w:ind w:left="0" w:right="0" w:hanging="0"/>
              <w:jc w:val="center"/>
              <w:rPr/>
            </w:pPr>
            <w:r>
              <w:rPr/>
              <w:t>​</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1" w:after="1"/>
              <w:ind w:left="0" w:right="0" w:hanging="0"/>
              <w:jc w:val="left"/>
              <w:rPr/>
            </w:pPr>
            <w:r>
              <w:rPr/>
              <w:t>​</w:t>
            </w:r>
          </w:p>
        </w:tc>
        <w:tc>
          <w:tcPr>
            <w:tcW w:w="432"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653"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1,004</w:t>
            </w:r>
          </w:p>
        </w:tc>
      </w:tr>
      <w:tr>
        <w:trPr/>
        <w:tc>
          <w:tcPr>
            <w:tcW w:w="408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46" w:type="dxa"/>
            <w:tcBorders/>
            <w:vAlign w:val="center"/>
          </w:tcPr>
          <w:p>
            <w:pPr>
              <w:pStyle w:val="TableContents"/>
              <w:bidi w:val="0"/>
              <w:spacing w:before="1" w:after="1"/>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653"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19</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46" w:type="dxa"/>
            <w:tcBorders/>
            <w:shd w:fill="CCEEFF" w:val="clear"/>
            <w:vAlign w:val="center"/>
          </w:tcPr>
          <w:p>
            <w:pPr>
              <w:pStyle w:val="TableContents"/>
              <w:bidi w:val="0"/>
              <w:spacing w:before="1" w:after="1"/>
              <w:ind w:left="0" w:right="0" w:hanging="0"/>
              <w:jc w:val="left"/>
              <w:rPr/>
            </w:pPr>
            <w:r>
              <w:rPr/>
              <w:t>​</w:t>
            </w:r>
          </w:p>
        </w:tc>
        <w:tc>
          <w:tcPr>
            <w:tcW w:w="432" w:type="dxa"/>
            <w:tcBorders/>
            <w:shd w:fill="CCEEFF" w:val="clear"/>
            <w:vAlign w:val="center"/>
          </w:tcPr>
          <w:p>
            <w:pPr>
              <w:pStyle w:val="TableContents"/>
              <w:bidi w:val="0"/>
              <w:spacing w:before="1" w:after="1"/>
              <w:ind w:left="0" w:right="0" w:hanging="0"/>
              <w:jc w:val="left"/>
              <w:rPr/>
            </w:pPr>
            <w:r>
              <w:rPr/>
              <w:t>​</w:t>
            </w:r>
          </w:p>
        </w:tc>
        <w:tc>
          <w:tcPr>
            <w:tcW w:w="1653"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1,023</w:t>
            </w:r>
          </w:p>
        </w:tc>
      </w:tr>
      <w:tr>
        <w:trPr/>
        <w:tc>
          <w:tcPr>
            <w:tcW w:w="4427" w:type="dxa"/>
            <w:gridSpan w:val="2"/>
            <w:tcBorders/>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Non-current assets</w:t>
            </w:r>
          </w:p>
        </w:tc>
        <w:tc>
          <w:tcPr>
            <w:tcW w:w="432" w:type="dxa"/>
            <w:tcBorders/>
            <w:vAlign w:val="center"/>
          </w:tcPr>
          <w:p>
            <w:pPr>
              <w:pStyle w:val="TableContents"/>
              <w:bidi w:val="0"/>
              <w:spacing w:before="1" w:after="1"/>
              <w:ind w:left="0" w:right="0" w:hanging="0"/>
              <w:jc w:val="left"/>
              <w:rPr/>
            </w:pPr>
            <w:r>
              <w:rPr/>
              <w:t>​</w:t>
            </w:r>
          </w:p>
        </w:tc>
        <w:tc>
          <w:tcPr>
            <w:tcW w:w="1653" w:type="dxa"/>
            <w:tcBorders/>
            <w:vAlign w:val="center"/>
          </w:tcPr>
          <w:p>
            <w:pPr>
              <w:pStyle w:val="TableContents"/>
              <w:bidi w:val="0"/>
              <w:spacing w:before="1" w:after="1"/>
              <w:ind w:left="0" w:right="0" w:hanging="0"/>
              <w:jc w:val="right"/>
              <w:rPr/>
            </w:pPr>
            <w:r>
              <w:rPr/>
              <w:t>​</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Intangible assets</w:t>
            </w:r>
          </w:p>
        </w:tc>
        <w:tc>
          <w:tcPr>
            <w:tcW w:w="346" w:type="dxa"/>
            <w:tcBorders/>
            <w:shd w:fill="CCEEFF" w:val="clear"/>
            <w:vAlign w:val="center"/>
          </w:tcPr>
          <w:p>
            <w:pPr>
              <w:pStyle w:val="TableContents"/>
              <w:bidi w:val="0"/>
              <w:spacing w:before="1" w:after="1"/>
              <w:ind w:left="0" w:right="0" w:hanging="0"/>
              <w:jc w:val="left"/>
              <w:rPr/>
            </w:pPr>
            <w:r>
              <w:rPr/>
              <w:t>​</w:t>
            </w:r>
          </w:p>
        </w:tc>
        <w:tc>
          <w:tcPr>
            <w:tcW w:w="432" w:type="dxa"/>
            <w:tcBorders/>
            <w:shd w:fill="CCEEFF" w:val="clear"/>
            <w:vAlign w:val="center"/>
          </w:tcPr>
          <w:p>
            <w:pPr>
              <w:pStyle w:val="TableContents"/>
              <w:bidi w:val="0"/>
              <w:spacing w:before="1" w:after="1"/>
              <w:ind w:left="0" w:right="0" w:hanging="0"/>
              <w:jc w:val="left"/>
              <w:rPr/>
            </w:pPr>
            <w:r>
              <w:rPr/>
              <w:t>​</w:t>
            </w:r>
          </w:p>
        </w:tc>
        <w:tc>
          <w:tcPr>
            <w:tcW w:w="1653"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4,110</w:t>
            </w:r>
          </w:p>
        </w:tc>
      </w:tr>
      <w:tr>
        <w:trPr/>
        <w:tc>
          <w:tcPr>
            <w:tcW w:w="4081"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Arial;Helvetica;sans-serif" w:hAnsi="Arial;Helvetica;sans-serif"/>
                <w:sz w:val="20"/>
              </w:rPr>
              <w:t>Goodwill</w:t>
            </w:r>
            <w:r>
              <w:rPr>
                <w:rFonts w:ascii="Arial;Helvetica;sans-serif" w:hAnsi="Arial;Helvetica;sans-serif"/>
                <w:sz w:val="15"/>
              </w:rPr>
              <w:t>(1)</w:t>
            </w:r>
          </w:p>
        </w:tc>
        <w:tc>
          <w:tcPr>
            <w:tcW w:w="346" w:type="dxa"/>
            <w:tcBorders/>
            <w:vAlign w:val="center"/>
          </w:tcPr>
          <w:p>
            <w:pPr>
              <w:pStyle w:val="TableContents"/>
              <w:bidi w:val="0"/>
              <w:spacing w:before="1" w:after="1"/>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653"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8,491</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 non-current assets</w:t>
            </w:r>
          </w:p>
        </w:tc>
        <w:tc>
          <w:tcPr>
            <w:tcW w:w="346" w:type="dxa"/>
            <w:tcBorders/>
            <w:shd w:fill="CCEEFF" w:val="clear"/>
            <w:vAlign w:val="center"/>
          </w:tcPr>
          <w:p>
            <w:pPr>
              <w:pStyle w:val="TableContents"/>
              <w:bidi w:val="0"/>
              <w:spacing w:before="1" w:after="1"/>
              <w:ind w:left="0" w:right="0" w:hanging="0"/>
              <w:jc w:val="lef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65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12,601</w:t>
            </w:r>
          </w:p>
        </w:tc>
      </w:tr>
      <w:tr>
        <w:trPr/>
        <w:tc>
          <w:tcPr>
            <w:tcW w:w="4081" w:type="dxa"/>
            <w:tcBorders/>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Total assets acquired</w:t>
            </w:r>
          </w:p>
        </w:tc>
        <w:tc>
          <w:tcPr>
            <w:tcW w:w="346" w:type="dxa"/>
            <w:tcBorders/>
            <w:vAlign w:val="center"/>
          </w:tcPr>
          <w:p>
            <w:pPr>
              <w:pStyle w:val="TableContents"/>
              <w:bidi w:val="0"/>
              <w:spacing w:before="1" w:after="1"/>
              <w:ind w:left="0" w:right="0" w:hanging="0"/>
              <w:jc w:val="left"/>
              <w:rPr/>
            </w:pPr>
            <w:r>
              <w:rPr/>
              <w:t>​</w:t>
            </w:r>
          </w:p>
        </w:tc>
        <w:tc>
          <w:tcPr>
            <w:tcW w:w="432"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653"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13,624</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b/>
                <w:i/>
                <w:sz w:val="20"/>
              </w:rPr>
            </w:pPr>
            <w:r>
              <w:rPr>
                <w:rFonts w:ascii="Arial;Helvetica;sans-serif" w:hAnsi="Arial;Helvetica;sans-serif"/>
                <w:b/>
                <w:i/>
                <w:sz w:val="20"/>
              </w:rPr>
              <w:t>Liabilities and stockholders' equity</w:t>
            </w:r>
          </w:p>
        </w:tc>
        <w:tc>
          <w:tcPr>
            <w:tcW w:w="346" w:type="dxa"/>
            <w:tcBorders/>
            <w:shd w:fill="CCEEFF" w:val="clear"/>
            <w:vAlign w:val="center"/>
          </w:tcPr>
          <w:p>
            <w:pPr>
              <w:pStyle w:val="TableContents"/>
              <w:bidi w:val="0"/>
              <w:spacing w:before="1" w:after="1"/>
              <w:ind w:left="0" w:right="0" w:hanging="0"/>
              <w:jc w:val="center"/>
              <w:rPr/>
            </w:pPr>
            <w:r>
              <w:rPr/>
              <w:t>​</w:t>
            </w:r>
          </w:p>
        </w:tc>
        <w:tc>
          <w:tcPr>
            <w:tcW w:w="432" w:type="dxa"/>
            <w:tcBorders/>
            <w:shd w:fill="CCEEFF" w:val="clear"/>
            <w:vAlign w:val="center"/>
          </w:tcPr>
          <w:p>
            <w:pPr>
              <w:pStyle w:val="TableContents"/>
              <w:bidi w:val="0"/>
              <w:spacing w:before="1" w:after="1"/>
              <w:ind w:left="0" w:right="0" w:hanging="0"/>
              <w:jc w:val="center"/>
              <w:rPr/>
            </w:pPr>
            <w:r>
              <w:rPr/>
              <w:t>​</w:t>
            </w:r>
          </w:p>
        </w:tc>
        <w:tc>
          <w:tcPr>
            <w:tcW w:w="1653" w:type="dxa"/>
            <w:tcBorders/>
            <w:shd w:fill="CCEEFF" w:val="clear"/>
            <w:vAlign w:val="center"/>
          </w:tcPr>
          <w:p>
            <w:pPr>
              <w:pStyle w:val="TableContents"/>
              <w:bidi w:val="0"/>
              <w:spacing w:before="1" w:after="1"/>
              <w:ind w:left="0" w:right="0" w:hanging="0"/>
              <w:jc w:val="center"/>
              <w:rPr/>
            </w:pPr>
            <w:r>
              <w:rPr/>
              <w:t>​</w:t>
            </w:r>
          </w:p>
        </w:tc>
      </w:tr>
      <w:tr>
        <w:trPr/>
        <w:tc>
          <w:tcPr>
            <w:tcW w:w="4427" w:type="dxa"/>
            <w:gridSpan w:val="2"/>
            <w:tcBorders/>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Current liabilities</w:t>
            </w:r>
          </w:p>
        </w:tc>
        <w:tc>
          <w:tcPr>
            <w:tcW w:w="432" w:type="dxa"/>
            <w:tcBorders/>
            <w:vAlign w:val="center"/>
          </w:tcPr>
          <w:p>
            <w:pPr>
              <w:pStyle w:val="TableContents"/>
              <w:bidi w:val="0"/>
              <w:spacing w:before="1" w:after="1"/>
              <w:ind w:left="0" w:right="0" w:hanging="0"/>
              <w:jc w:val="center"/>
              <w:rPr/>
            </w:pPr>
            <w:r>
              <w:rPr/>
              <w:t>​</w:t>
            </w:r>
          </w:p>
        </w:tc>
        <w:tc>
          <w:tcPr>
            <w:tcW w:w="1653" w:type="dxa"/>
            <w:tcBorders/>
            <w:vAlign w:val="center"/>
          </w:tcPr>
          <w:p>
            <w:pPr>
              <w:pStyle w:val="TableContents"/>
              <w:bidi w:val="0"/>
              <w:spacing w:before="1" w:after="1"/>
              <w:ind w:left="0" w:right="0" w:hanging="0"/>
              <w:jc w:val="center"/>
              <w:rPr/>
            </w:pPr>
            <w:r>
              <w:rPr/>
              <w:t>​</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Accrued expenses and other current liabilities</w:t>
            </w:r>
          </w:p>
        </w:tc>
        <w:tc>
          <w:tcPr>
            <w:tcW w:w="346" w:type="dxa"/>
            <w:tcBorders/>
            <w:shd w:fill="CCEEFF" w:val="clear"/>
            <w:vAlign w:val="center"/>
          </w:tcPr>
          <w:p>
            <w:pPr>
              <w:pStyle w:val="TableContents"/>
              <w:bidi w:val="0"/>
              <w:spacing w:before="1" w:after="1"/>
              <w:ind w:left="0" w:right="0" w:hanging="0"/>
              <w:jc w:val="left"/>
              <w:rPr/>
            </w:pPr>
            <w:r>
              <w:rPr/>
              <w:t>​</w:t>
            </w:r>
          </w:p>
        </w:tc>
        <w:tc>
          <w:tcPr>
            <w:tcW w:w="432"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653"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180</w:t>
            </w:r>
          </w:p>
        </w:tc>
      </w:tr>
      <w:tr>
        <w:trPr/>
        <w:tc>
          <w:tcPr>
            <w:tcW w:w="408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Unearned revenue</w:t>
            </w:r>
          </w:p>
        </w:tc>
        <w:tc>
          <w:tcPr>
            <w:tcW w:w="346" w:type="dxa"/>
            <w:tcBorders/>
            <w:vAlign w:val="center"/>
          </w:tcPr>
          <w:p>
            <w:pPr>
              <w:pStyle w:val="TableContents"/>
              <w:bidi w:val="0"/>
              <w:spacing w:before="1" w:after="1"/>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653"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313</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46" w:type="dxa"/>
            <w:tcBorders/>
            <w:shd w:fill="CCEEFF" w:val="clear"/>
            <w:vAlign w:val="center"/>
          </w:tcPr>
          <w:p>
            <w:pPr>
              <w:pStyle w:val="TableContents"/>
              <w:bidi w:val="0"/>
              <w:spacing w:before="1" w:after="1"/>
              <w:ind w:left="0" w:right="0" w:hanging="0"/>
              <w:jc w:val="left"/>
              <w:rPr/>
            </w:pPr>
            <w:r>
              <w:rPr/>
              <w:t>​</w:t>
            </w:r>
          </w:p>
        </w:tc>
        <w:tc>
          <w:tcPr>
            <w:tcW w:w="432" w:type="dxa"/>
            <w:tcBorders/>
            <w:shd w:fill="CCEEFF" w:val="clear"/>
            <w:vAlign w:val="center"/>
          </w:tcPr>
          <w:p>
            <w:pPr>
              <w:pStyle w:val="TableContents"/>
              <w:bidi w:val="0"/>
              <w:spacing w:before="1" w:after="1"/>
              <w:ind w:left="0" w:right="0" w:hanging="0"/>
              <w:jc w:val="left"/>
              <w:rPr/>
            </w:pPr>
            <w:r>
              <w:rPr/>
              <w:t>​</w:t>
            </w:r>
          </w:p>
        </w:tc>
        <w:tc>
          <w:tcPr>
            <w:tcW w:w="1653"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493</w:t>
            </w:r>
          </w:p>
        </w:tc>
      </w:tr>
      <w:tr>
        <w:trPr/>
        <w:tc>
          <w:tcPr>
            <w:tcW w:w="4427" w:type="dxa"/>
            <w:gridSpan w:val="2"/>
            <w:tcBorders/>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Non-current liabilities</w:t>
            </w:r>
          </w:p>
        </w:tc>
        <w:tc>
          <w:tcPr>
            <w:tcW w:w="432" w:type="dxa"/>
            <w:tcBorders/>
            <w:vAlign w:val="center"/>
          </w:tcPr>
          <w:p>
            <w:pPr>
              <w:pStyle w:val="TableContents"/>
              <w:bidi w:val="0"/>
              <w:spacing w:before="1" w:after="1"/>
              <w:ind w:left="0" w:right="0" w:hanging="0"/>
              <w:jc w:val="left"/>
              <w:rPr/>
            </w:pPr>
            <w:r>
              <w:rPr/>
              <w:t>​</w:t>
            </w:r>
          </w:p>
        </w:tc>
        <w:tc>
          <w:tcPr>
            <w:tcW w:w="1653" w:type="dxa"/>
            <w:tcBorders/>
            <w:vAlign w:val="center"/>
          </w:tcPr>
          <w:p>
            <w:pPr>
              <w:pStyle w:val="TableContents"/>
              <w:bidi w:val="0"/>
              <w:spacing w:before="1" w:after="1"/>
              <w:ind w:left="0" w:right="0" w:hanging="0"/>
              <w:jc w:val="right"/>
              <w:rPr/>
            </w:pPr>
            <w:r>
              <w:rPr/>
              <w:t>​</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Deferred income taxes</w:t>
            </w:r>
          </w:p>
        </w:tc>
        <w:tc>
          <w:tcPr>
            <w:tcW w:w="346" w:type="dxa"/>
            <w:tcBorders/>
            <w:shd w:fill="CCEEFF" w:val="clear"/>
            <w:vAlign w:val="center"/>
          </w:tcPr>
          <w:p>
            <w:pPr>
              <w:pStyle w:val="TableContents"/>
              <w:bidi w:val="0"/>
              <w:spacing w:before="1" w:after="1"/>
              <w:ind w:left="0" w:right="0" w:hanging="0"/>
              <w:jc w:val="lef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65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1,038</w:t>
            </w:r>
          </w:p>
        </w:tc>
      </w:tr>
      <w:tr>
        <w:trPr/>
        <w:tc>
          <w:tcPr>
            <w:tcW w:w="408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 long term liabilities</w:t>
            </w:r>
          </w:p>
        </w:tc>
        <w:tc>
          <w:tcPr>
            <w:tcW w:w="346" w:type="dxa"/>
            <w:tcBorders/>
            <w:vAlign w:val="center"/>
          </w:tcPr>
          <w:p>
            <w:pPr>
              <w:pStyle w:val="TableContents"/>
              <w:bidi w:val="0"/>
              <w:spacing w:before="1" w:after="1"/>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653"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1,038</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Total liabilities assumed</w:t>
            </w:r>
          </w:p>
        </w:tc>
        <w:tc>
          <w:tcPr>
            <w:tcW w:w="346" w:type="dxa"/>
            <w:tcBorders/>
            <w:shd w:fill="CCEEFF" w:val="clear"/>
            <w:vAlign w:val="center"/>
          </w:tcPr>
          <w:p>
            <w:pPr>
              <w:pStyle w:val="TableContents"/>
              <w:bidi w:val="0"/>
              <w:spacing w:before="1" w:after="1"/>
              <w:ind w:left="0" w:right="0" w:hanging="0"/>
              <w:jc w:val="lef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653"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1,531</w:t>
            </w:r>
          </w:p>
        </w:tc>
      </w:tr>
      <w:tr>
        <w:trPr/>
        <w:tc>
          <w:tcPr>
            <w:tcW w:w="40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43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65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r>
      <w:tr>
        <w:trPr/>
        <w:tc>
          <w:tcPr>
            <w:tcW w:w="4081" w:type="dxa"/>
            <w:tcBorders/>
            <w:shd w:fill="CCEEFF" w:val="clear"/>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Net assets acquired</w:t>
            </w:r>
          </w:p>
        </w:tc>
        <w:tc>
          <w:tcPr>
            <w:tcW w:w="346" w:type="dxa"/>
            <w:tcBorders/>
            <w:shd w:fill="CCEEFF" w:val="clear"/>
            <w:vAlign w:val="center"/>
          </w:tcPr>
          <w:p>
            <w:pPr>
              <w:pStyle w:val="TableContents"/>
              <w:bidi w:val="0"/>
              <w:spacing w:before="1" w:after="1"/>
              <w:ind w:left="0" w:right="0" w:hanging="0"/>
              <w:jc w:val="lef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1653" w:type="dxa"/>
            <w:tcBorders>
              <w:bottom w:val="double" w:sz="6" w:space="0" w:color="000000"/>
            </w:tcBorders>
            <w:shd w:fill="CCEEFF" w:val="clear"/>
            <w:tcMar>
              <w:bottom w:w="28" w:type="dxa"/>
            </w:tcMar>
            <w:vAlign w:val="center"/>
          </w:tcPr>
          <w:p>
            <w:pPr>
              <w:pStyle w:val="TableContents"/>
              <w:bidi w:val="0"/>
              <w:spacing w:before="1" w:after="1"/>
              <w:ind w:left="0" w:right="70" w:hanging="0"/>
              <w:jc w:val="right"/>
              <w:rPr>
                <w:rFonts w:ascii="Arial;Helvetica;sans-serif" w:hAnsi="Arial;Helvetica;sans-serif"/>
                <w:sz w:val="20"/>
              </w:rPr>
            </w:pPr>
            <w:r>
              <w:rPr>
                <w:rFonts w:ascii="Arial;Helvetica;sans-serif" w:hAnsi="Arial;Helvetica;sans-serif"/>
                <w:sz w:val="20"/>
              </w:rPr>
              <w:t>12,093</w:t>
            </w:r>
          </w:p>
        </w:tc>
      </w:tr>
    </w:tbl>
    <w:p>
      <w:pPr>
        <w:pStyle w:val="TextBody"/>
        <w:pBdr/>
        <w:shd w:fill="FFFFFF" w:val="clear"/>
        <w:bidi w:val="0"/>
        <w:spacing w:before="100" w:after="100"/>
        <w:ind w:left="0" w:right="0" w:hanging="0"/>
        <w:jc w:val="both"/>
        <w:rPr/>
      </w:pPr>
      <w:r>
        <w:rPr/>
        <w:t>​</w:t>
      </w:r>
    </w:p>
    <w:tbl>
      <w:tblPr>
        <w:tblW w:w="10205" w:type="dxa"/>
        <w:jc w:val="left"/>
        <w:tblInd w:w="0" w:type="dxa"/>
        <w:shd w:fill="FFFFFF" w:val="clear"/>
        <w:tblLayout w:type="fixed"/>
        <w:tblCellMar>
          <w:top w:w="0" w:type="dxa"/>
          <w:left w:w="0" w:type="dxa"/>
          <w:bottom w:w="0" w:type="dxa"/>
          <w:right w:w="0" w:type="dxa"/>
        </w:tblCellMar>
      </w:tblPr>
      <w:tblGrid>
        <w:gridCol w:w="306"/>
        <w:gridCol w:w="9899"/>
      </w:tblGrid>
      <w:tr>
        <w:trPr/>
        <w:tc>
          <w:tcPr>
            <w:tcW w:w="306"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899" w:type="dxa"/>
            <w:tcBorders/>
            <w:shd w:fill="FFFFFF" w:val="clear"/>
            <w:vAlign w:val="center"/>
          </w:tcPr>
          <w:p>
            <w:pPr>
              <w:pStyle w:val="TableContents"/>
              <w:bidi w:val="0"/>
              <w:spacing w:before="0" w:after="283"/>
              <w:jc w:val="left"/>
              <w:rPr/>
            </w:pPr>
            <w:r>
              <w:rPr>
                <w:rFonts w:ascii="Arial;Helvetica;sans-serif" w:hAnsi="Arial;Helvetica;sans-serif"/>
                <w:b w:val="false"/>
                <w:i w:val="false"/>
                <w:caps w:val="false"/>
                <w:smallCaps w:val="false"/>
                <w:sz w:val="16"/>
              </w:rPr>
              <w:t>Of the $8.5</w:t>
            </w:r>
            <w:r>
              <w:rPr>
                <w:caps w:val="false"/>
                <w:smallCaps w:val="false"/>
              </w:rPr>
              <w:t xml:space="preserve"> </w:t>
            </w:r>
            <w:r>
              <w:rPr>
                <w:rFonts w:ascii="Arial;Helvetica;sans-serif" w:hAnsi="Arial;Helvetica;sans-serif"/>
                <w:b w:val="false"/>
                <w:i w:val="false"/>
                <w:caps w:val="false"/>
                <w:smallCaps w:val="false"/>
                <w:sz w:val="16"/>
              </w:rPr>
              <w:t>million of goodwill from the acquisition, none is expected to be tax deductible. Goodwill is comprised of expected synergies for the combined operations and the assembled workforce acquired in the acquisition.</w:t>
            </w:r>
            <w:r>
              <w:rPr>
                <w:caps w:val="false"/>
                <w:smallCaps w:val="false"/>
              </w:rPr>
              <w:t xml:space="preserve"> </w:t>
            </w:r>
          </w:p>
        </w:tc>
      </w:tr>
    </w:tbl>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Identifiable Intangible Assets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identifiable intangible assets acquired consist of a developed technology asset, customer relationship assets and a tradename asset. The estimated fair value of the developed technology asset was prepared using the relief from royalty method which calculates the value of the developed technology based on royalties that would be paid if licensed by a third party. The estimated fair value of customer relationship assets was prepared using the multi-period excess earnings method which calculates the present value of the incremental after-tax cash flows attributable solely to each customer relationship. The estimated fair value of the tradename asset was prepared using the relief from royalty method which calculates the value of the tradename based on royalties that would be paid if licensed by a third party. The estimated useful lives are based on forecasted periods of benefit for each intangible asset. Estimated useful lives and estimated preliminary fair values are presented in the table below.</w:t>
      </w:r>
    </w:p>
    <w:tbl>
      <w:tblPr>
        <w:tblW w:w="9517" w:type="dxa"/>
        <w:jc w:val="left"/>
        <w:tblInd w:w="0" w:type="dxa"/>
        <w:tblLayout w:type="fixed"/>
        <w:tblCellMar>
          <w:top w:w="0" w:type="dxa"/>
          <w:left w:w="0" w:type="dxa"/>
          <w:bottom w:w="0" w:type="dxa"/>
          <w:right w:w="0" w:type="dxa"/>
        </w:tblCellMar>
      </w:tblPr>
      <w:tblGrid>
        <w:gridCol w:w="4711"/>
        <w:gridCol w:w="346"/>
        <w:gridCol w:w="587"/>
        <w:gridCol w:w="1633"/>
        <w:gridCol w:w="109"/>
        <w:gridCol w:w="2131"/>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991485" cy="175260"/>
                      <wp:effectExtent l="0" t="0" r="0" b="0"/>
                      <wp:wrapNone/>
                      <wp:docPr id="255" name="Frame255"/>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72745" cy="175260"/>
                      <wp:effectExtent l="0" t="0" r="0" b="0"/>
                      <wp:wrapNone/>
                      <wp:docPr id="257" name="Frame257"/>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036955" cy="175260"/>
                      <wp:effectExtent l="0" t="0" r="0" b="0"/>
                      <wp:wrapNone/>
                      <wp:docPr id="258" name="Frame258"/>
                      <a:graphic xmlns:a="http://schemas.openxmlformats.org/drawingml/2006/main">
                        <a:graphicData uri="http://schemas.microsoft.com/office/word/2010/wordprocessingShape">
                          <wps:wsp>
                            <wps:cNvSpPr txBox="1"/>
                            <wps:spPr>
                              <a:xfrm>
                                <a:off x="0" y="0"/>
                                <a:ext cx="1036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53185" cy="175260"/>
                      <wp:effectExtent l="0" t="0" r="0" b="0"/>
                      <wp:wrapNone/>
                      <wp:docPr id="260" name="Frame26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222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Arial;Helvetica;sans-serif" w:hAnsi="Arial;Helvetica;sans-serif"/>
                <w:b/>
                <w:sz w:val="20"/>
              </w:rPr>
              <w:t>Estimated Fair Value</w:t>
            </w:r>
            <w:r>
              <w:rPr>
                <w:rFonts w:ascii="Arial;Helvetica;sans-serif" w:hAnsi="Arial;Helvetica;sans-serif"/>
                <w:b/>
                <w:sz w:val="15"/>
              </w:rPr>
              <w:t>(1)</w:t>
            </w:r>
          </w:p>
        </w:tc>
        <w:tc>
          <w:tcPr>
            <w:tcW w:w="109" w:type="dxa"/>
            <w:tcBorders/>
            <w:vAlign w:val="center"/>
          </w:tcPr>
          <w:p>
            <w:pPr>
              <w:pStyle w:val="TableContents"/>
              <w:bidi w:val="0"/>
              <w:spacing w:before="0" w:after="0"/>
              <w:ind w:left="0" w:right="0" w:hanging="0"/>
              <w:jc w:val="left"/>
              <w:rPr/>
            </w:pPr>
            <w:r>
              <w:rPr/>
              <w:t>​</w:t>
            </w:r>
          </w:p>
        </w:tc>
        <w:tc>
          <w:tcPr>
            <w:tcW w:w="21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Estimated Useful Life</w:t>
            </w:r>
          </w:p>
        </w:tc>
      </w:tr>
      <w:tr>
        <w:trPr/>
        <w:tc>
          <w:tcPr>
            <w:tcW w:w="47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Developed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3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3,200</w:t>
            </w:r>
          </w:p>
        </w:tc>
        <w:tc>
          <w:tcPr>
            <w:tcW w:w="109" w:type="dxa"/>
            <w:tcBorders/>
            <w:shd w:fill="CCEEFF" w:val="clear"/>
            <w:vAlign w:val="center"/>
          </w:tcPr>
          <w:p>
            <w:pPr>
              <w:pStyle w:val="TableContents"/>
              <w:bidi w:val="0"/>
              <w:spacing w:before="0" w:after="0"/>
              <w:ind w:left="0" w:right="0" w:hanging="0"/>
              <w:jc w:val="left"/>
              <w:rPr/>
            </w:pPr>
            <w:r>
              <w:rPr/>
              <w:t>​</w:t>
            </w:r>
          </w:p>
        </w:tc>
        <w:tc>
          <w:tcPr>
            <w:tcW w:w="21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 years</w:t>
            </w:r>
          </w:p>
        </w:tc>
      </w:tr>
      <w:tr>
        <w:trPr/>
        <w:tc>
          <w:tcPr>
            <w:tcW w:w="47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left"/>
              <w:rPr/>
            </w:pPr>
            <w:r>
              <w:rPr/>
              <w:t>​</w:t>
            </w:r>
          </w:p>
        </w:tc>
        <w:tc>
          <w:tcPr>
            <w:tcW w:w="163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540</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 years</w:t>
            </w:r>
          </w:p>
        </w:tc>
      </w:tr>
      <w:tr>
        <w:trPr/>
        <w:tc>
          <w:tcPr>
            <w:tcW w:w="47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Tradename</w:t>
            </w:r>
          </w:p>
        </w:tc>
        <w:tc>
          <w:tcPr>
            <w:tcW w:w="346" w:type="dxa"/>
            <w:tcBorders/>
            <w:shd w:fill="CCEEFF" w:val="clear"/>
            <w:vAlign w:val="center"/>
          </w:tcPr>
          <w:p>
            <w:pPr>
              <w:pStyle w:val="TableContents"/>
              <w:bidi w:val="0"/>
              <w:spacing w:before="0" w:after="0"/>
              <w:ind w:left="0" w:right="0" w:hanging="0"/>
              <w:jc w:val="left"/>
              <w:rPr/>
            </w:pPr>
            <w:r>
              <w:rPr/>
              <w:t>​</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370</w:t>
            </w:r>
          </w:p>
        </w:tc>
        <w:tc>
          <w:tcPr>
            <w:tcW w:w="109" w:type="dxa"/>
            <w:tcBorders/>
            <w:shd w:fill="CCEEFF" w:val="clear"/>
            <w:vAlign w:val="center"/>
          </w:tcPr>
          <w:p>
            <w:pPr>
              <w:pStyle w:val="TableContents"/>
              <w:bidi w:val="0"/>
              <w:spacing w:before="0" w:after="0"/>
              <w:ind w:left="0" w:right="0" w:hanging="0"/>
              <w:jc w:val="left"/>
              <w:rPr/>
            </w:pPr>
            <w:r>
              <w:rPr/>
              <w:t>​</w:t>
            </w:r>
          </w:p>
        </w:tc>
        <w:tc>
          <w:tcPr>
            <w:tcW w:w="2131"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 years</w:t>
            </w:r>
          </w:p>
        </w:tc>
      </w:tr>
      <w:tr>
        <w:trPr/>
        <w:tc>
          <w:tcPr>
            <w:tcW w:w="47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Estimated fair value of intangible assets acquired</w:t>
            </w:r>
          </w:p>
        </w:tc>
        <w:tc>
          <w:tcPr>
            <w:tcW w:w="346" w:type="dxa"/>
            <w:tcBorders/>
            <w:vAlign w:val="center"/>
          </w:tcPr>
          <w:p>
            <w:pPr>
              <w:pStyle w:val="TableContents"/>
              <w:bidi w:val="0"/>
              <w:spacing w:before="0" w:after="0"/>
              <w:ind w:left="0" w:right="0" w:hanging="0"/>
              <w:jc w:val="left"/>
              <w:rPr/>
            </w:pPr>
            <w:r>
              <w:rPr/>
              <w:t>​</w:t>
            </w:r>
          </w:p>
        </w:tc>
        <w:tc>
          <w:tcPr>
            <w:tcW w:w="58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3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4,110</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0" w:right="0" w:firstLine="72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325"/>
        <w:gridCol w:w="9880"/>
      </w:tblGrid>
      <w:tr>
        <w:trPr/>
        <w:tc>
          <w:tcPr>
            <w:tcW w:w="3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preliminary acquisition accounting, including the valuation of identifiable intangible assets, is subject to change during the measurement period.</w:t>
            </w:r>
          </w:p>
        </w:tc>
      </w:tr>
    </w:tbl>
    <w:p>
      <w:pPr>
        <w:pStyle w:val="TextBody"/>
        <w:pBdr/>
        <w:bidi w:val="0"/>
        <w:spacing w:before="0" w:after="0"/>
        <w:ind w:left="0" w:right="0" w:hanging="0"/>
        <w:jc w:val="both"/>
        <w:rPr>
          <w:rFonts w:ascii="Arial;Helvetica;sans-serif" w:hAnsi="Arial;Helvetica;sans-serif"/>
          <w:b/>
          <w:sz w:val="20"/>
        </w:rPr>
      </w:pPr>
      <w:bookmarkStart w:id="1188" w:name="Item2ManagementsDiscussionandAnalysis_13"/>
      <w:bookmarkStart w:id="1189" w:name="_475e91ba_f6df_4df6_bc4a_a4ed393f0d14"/>
      <w:bookmarkEnd w:id="1188"/>
      <w:bookmarkEnd w:id="1189"/>
      <w:r>
        <w:rPr>
          <w:rFonts w:ascii="Arial;Helvetica;sans-serif" w:hAnsi="Arial;Helvetica;sans-serif"/>
          <w:b/>
          <w:sz w:val="20"/>
        </w:rPr>
        <w:t>Item 2. Management’s Discussion and Analysis of Financial Condition and Results of Operations.</w:t>
      </w:r>
    </w:p>
    <w:p>
      <w:pPr>
        <w:pStyle w:val="TextBody"/>
        <w:shd w:fill="FFFFFF" w:val="clear"/>
        <w:bidi w:val="0"/>
        <w:spacing w:before="40" w:after="0"/>
        <w:ind w:left="0" w:right="0" w:firstLine="720"/>
        <w:jc w:val="both"/>
        <w:rPr>
          <w:rFonts w:ascii="Arial;Helvetica;sans-serif" w:hAnsi="Arial;Helvetica;sans-serif"/>
          <w:sz w:val="20"/>
        </w:rPr>
      </w:pPr>
      <w:r>
        <w:rPr>
          <w:rFonts w:ascii="Arial;Helvetica;sans-serif" w:hAnsi="Arial;Helvetica;sans-serif"/>
          <w:sz w:val="20"/>
        </w:rPr>
        <w:t>The following discussion and analysis of our financial condition and results of operations should be read in conjunction with the condensed consolidated financial statements and the accompanying notes thereto included elsewhere in this report.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280" w:after="240"/>
        <w:ind w:left="0" w:right="0" w:hanging="0"/>
        <w:jc w:val="both"/>
        <w:rPr>
          <w:rFonts w:ascii="Times New Roman;Times;serif" w:hAnsi="Times New Roman;Times;serif"/>
          <w:sz w:val="20"/>
        </w:rPr>
      </w:pPr>
      <w:bookmarkStart w:id="1190" w:name="_30ae7280_b2a1_4ee1_a8b3_a15fdf828142"/>
      <w:bookmarkEnd w:id="1190"/>
      <w:r>
        <w:rPr>
          <w:rFonts w:ascii="Arial;Helvetica;sans-serif" w:hAnsi="Arial;Helvetica;sans-serif"/>
          <w:b/>
          <w:sz w:val="20"/>
        </w:rPr>
        <w:t>Overview</w:t>
      </w:r>
      <w:r>
        <w:rPr>
          <w:rFonts w:ascii="Times New Roman;Times;serif" w:hAnsi="Times New Roman;Times;serif"/>
          <w:sz w:val="20"/>
          <w:shd w:fill="FFFF00" w:val="clear"/>
        </w:rPr>
        <w:t xml:space="preserve"> </w:t>
      </w:r>
    </w:p>
    <w:p>
      <w:pPr>
        <w:pStyle w:val="TextBody"/>
        <w:pBdr/>
        <w:bidi w:val="0"/>
        <w:spacing w:before="0" w:after="0"/>
        <w:ind w:left="0" w:right="0" w:firstLine="720"/>
        <w:jc w:val="both"/>
        <w:rPr>
          <w:rFonts w:ascii="Arial;Helvetica;sans-serif" w:hAnsi="Arial;Helvetica;sans-serif"/>
          <w:sz w:val="20"/>
        </w:rPr>
      </w:pPr>
      <w:r>
        <w:rPr>
          <w:rFonts w:ascii="Arial;Helvetica;sans-serif" w:hAnsi="Arial;Helvetica;sans-serif"/>
          <w:sz w:val="20"/>
        </w:rPr>
        <w:t>We are a medical technology company that develops and commercializes medical devices in the United States. Our mission is to help people suffering from chronic diseases live better and care for themselves at home. We focus our efforts on advancing the standard of care in treating underserved chronic diseases in the home to improve patient outcomes and quality of life and help control rising healthcare expenditures. Our areas of therapeutic focus are (1) vascular disease, with a goal of advancing the standard of care in treating lymphedema and chronic venous insufficiency, (2) oncology, where lymphedema is a common consequence among cancer survivors and (3) providing airway clearance therapy for those suffering from chronic respiratory conditions. We possess a unique, scalable platform to deliver at-home healthcare solutions throughout the United States. This evolving home care delivery model is recognized by policymakers and insurance payers as a key for controlling rising healthcare costs. Our solutions deliver cost-effective, clinically proven, long-term treatment for people with these chronic diseases. We generally employ a direct-to-patient and -provider model within our lymphedema portfolio, through which we obtain patient referrals from clinicians, manage insurance claims on behalf of our patients and their clinicians, deliver our solutions directly to patients and train them on the proper use of our solutions. This model allows us to engage directly with patients and clinicians, which are both critical audiences to which we can provide clinical evidence and education. For our respiratory therapy product, we have a durable medical equipment (“DME”) distribution model, through which we sell the AffloVest product to accredited DME providers, whose representatives gather and submit documentation for payer reimbursement, train patients on use of the device, and provide ongoing patient support.</w:t>
      </w:r>
    </w:p>
    <w:p>
      <w:pPr>
        <w:pStyle w:val="TextBody"/>
        <w:pBdr/>
        <w:shd w:fill="FFFFFF" w:val="clear"/>
        <w:bidi w:val="0"/>
        <w:spacing w:before="0" w:after="0"/>
        <w:ind w:left="0" w:right="0" w:firstLine="720"/>
        <w:jc w:val="both"/>
        <w:rPr>
          <w:rFonts w:ascii="Arial;Helvetica;sans-serif" w:hAnsi="Arial;Helvetica;sans-serif"/>
          <w:sz w:val="20"/>
        </w:rPr>
      </w:pPr>
      <w:bookmarkStart w:id="1191" w:name="_Hlk195543194"/>
      <w:bookmarkEnd w:id="1191"/>
      <w:r>
        <w:rPr>
          <w:rFonts w:ascii="Arial;Helvetica;sans-serif" w:hAnsi="Arial;Helvetica;sans-serif"/>
          <w:sz w:val="20"/>
        </w:rPr>
        <w:t>Our current lymphedema products are the Flexitouch Plus, Entre Plus and Nimbl pneumatic compression pump systems and our airway clearance product is a High-Frequency Chest Wall Oscillation (“HFCWO”) device called AffloVest. The Flexitouch system product line is considered an advanced pneumatic compression device. The first generation Flexitouch system received 510(k) clearance from the U.S. Food and Drug Administration (the “FDA”) in July 2002, introducing a medical device technology to address the many limitations of self-administered home-based manual lymphatic drainage therapy. A second generation Flexitouch system received 510(k) clearance from the FDA in October 2006. In September 2016, we received 510(k) clearance from the FDA for the Flexitouch system in treating lymphedema of the head and neck. A third generation, Flexitouch Plus, received 510(k) clearance from the FDA in June 2017. In December 2020, we received 510(k) clearance from the FDA for two new indications for our Flexitouch Plus system: phlebolymphedema and lipedema. The Entre system product line and Nimbl product line are considered basic, or simple, pneumatic compression devices. These systems are sold or rented to patients who need a simple pump or who do not yet qualify for insurance reimbursement for an advanced compression device e.g., a Flexitouch Plus system. We introduced the Entre system in the United States in February 2013, this device was manufactured by Thermotek, Inc. and received FDA clearance in 2010. In 2015, we received FDA clearance for our own first generation Entre system and the second generation, Entre Plus, was released in March 2023. Nimbl, our next-generation pneumatic compression platform, received 510(k) clearance in June 2024 and was commercially launched for upper extremity lymphedema in October 2024 and was commercially launched for lower extremity lymphedema in February 2025. Nimbl has replaced most orders for our Entre system and we expect will continue to do so. Sales and rentals of our lymphedema products represented 84% and 83% of our revenue in the six months ended June 30, 2026 and 2025, respectively.</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On April 24, 2026, we entered into a 3-year exclusive distribution agreement with ElastiMed, Inc. to bring MyoSleeve, a discreet, wearable non-pneumatic compression device for the lower leg, to Department of Veterans Affairs (“VA”) and Department of Defense (“DoD”) patients across the United States. Under the agreement, we received exclusive rights to distribute MyoSleeve through the VA and DoD channels and limited non-exclusive distribution rights in the broader U.S. commercial market, subject to certain contractual conditions. In exchange for these rights, we made a $3.0 million upfront payment in the second quarter of 2026, which was recorded as an intangible asset and will be amortized on a straight-line basis beginning on the date the product is commercially available for sale, which is expected to be in the second half of 2026.</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On February 17, 2026, we acquired all outstanding equity interests of LymphaTech, Inc. (“LymphaTech”). LymphaTech is a medical technology company pioneering a digital, three-dimensional (the “3D”) full body measurement and monitoring platform designed specifically for lymphedema.</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On September 8, 2021, we acquired the assets of the AffloVest airway clearance product line. AffloVest is a portable, wearable vest that provides airway clearance to treat patients with chronic respiratory conditions such as bronchiectasis or conditions resulting from neuromuscular disorders. In April 2026, we received FDA 510(k) clearance for our AffloVest Gen 6 and it was commercially launched in June 2026. For the six months ended June 30, 2026 and 2025, sales of AffloVest represented 16% and 17% of our revenue, respectively. </w:t>
      </w:r>
    </w:p>
    <w:p>
      <w:pPr>
        <w:pStyle w:val="TextBody"/>
        <w:pBdr/>
        <w:bidi w:val="0"/>
        <w:spacing w:before="0" w:after="0"/>
        <w:ind w:left="0" w:right="0" w:firstLine="720"/>
        <w:jc w:val="both"/>
        <w:rPr>
          <w:rFonts w:ascii="Arial;Helvetica;sans-serif" w:hAnsi="Arial;Helvetica;sans-serif"/>
          <w:sz w:val="20"/>
        </w:rPr>
      </w:pPr>
      <w:r>
        <w:rPr>
          <w:rFonts w:ascii="Arial;Helvetica;sans-serif" w:hAnsi="Arial;Helvetica;sans-serif"/>
          <w:sz w:val="20"/>
        </w:rPr>
        <w:t>To support the growth of our business, we continue to invest in our commercial infrastructure, consisting of a lymphedema and respiratory sales force, marketing team including clinical education programs, patient education team, reimbursement capabilities and clinical expertise. We market our lymphedema products using a direct-to-patient and -clinician model. The AffloVest device is sold through respiratory durable medical equipment providers throughout the United States that service patients and bill third-party payers for the product. We employ a small group of respiratory specialists, who educate DME representatives, provide product demonstrations for targeted clinicians and support technical questions related to the AffloVest. As of June 30, 2026, we employed 169 account managers and 163 specialists for our lymphedema products and a team of 19 specialists supporting our airway clearance products. This compares to 161 account managers and 132 specialists for our lymphedema products and a team of 19 specialists supporting our airway clearance products as of June 30, 2025.</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We invest in our reimbursement function to improve operational efficiencies and enhance individual payer expertise, while continuing our strategic focus of payer development. Our payer relations function focuses on payer policy development, education, contract negotiations, and data analysis. Our reimbursement operations function is responsible for verifying patient insurance benefits, individual patient case development, prior authorization submissions, case follow-up, and appeals when necessary. </w:t>
      </w:r>
    </w:p>
    <w:p>
      <w:pPr>
        <w:pStyle w:val="TextBody"/>
        <w:pBdr/>
        <w:bidi w:val="0"/>
        <w:spacing w:before="0" w:after="0"/>
        <w:ind w:left="0" w:right="0" w:firstLine="720"/>
        <w:jc w:val="both"/>
        <w:rPr>
          <w:rFonts w:ascii="Arial;Helvetica;sans-serif" w:hAnsi="Arial;Helvetica;sans-serif"/>
          <w:sz w:val="20"/>
        </w:rPr>
      </w:pPr>
      <w:bookmarkStart w:id="1192" w:name="_Hlk69461730"/>
      <w:bookmarkEnd w:id="1192"/>
      <w:r>
        <w:rPr>
          <w:rFonts w:ascii="Arial;Helvetica;sans-serif" w:hAnsi="Arial;Helvetica;sans-serif"/>
          <w:sz w:val="20"/>
        </w:rPr>
        <w:t xml:space="preserve">We also have a clinical team, consisting of a scientific advisory board, in-house therapists and nurses, and a Chief Medical Officer, that serves as a resource to clinicians and patients and guides the development of clinical evidence in support of our products. Most clinical studies require observation and interaction with clinicians and patients to monitor results and progress. </w:t>
      </w:r>
    </w:p>
    <w:p>
      <w:pPr>
        <w:pStyle w:val="TextBody"/>
        <w:shd w:fill="FFFFFF" w:val="clear"/>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We rely on third-party contract manufacturers for the sourcing of parts, the assembly of our controllers and the manufacturing of the garments used with our systems. We conduct final assembly of the garments used with our products, perform quality assurance and ship our products from our facility in Minnesota.</w:t>
      </w:r>
      <w:r>
        <w:rPr>
          <w:rFonts w:ascii="Times New Roman;Times;serif" w:hAnsi="Times New Roman;Times;serif"/>
          <w:sz w:val="20"/>
        </w:rPr>
        <w:t xml:space="preserve"> </w:t>
      </w:r>
      <w:r>
        <w:rPr>
          <w:rFonts w:ascii="Arial;Helvetica;sans-serif" w:hAnsi="Arial;Helvetica;sans-serif"/>
          <w:sz w:val="20"/>
        </w:rPr>
        <w:t>We also manufacture and ship the AffloVest device from our Minnesota-based facility.</w:t>
      </w:r>
    </w:p>
    <w:p>
      <w:pPr>
        <w:pStyle w:val="TextBody"/>
        <w:pBdr/>
        <w:bidi w:val="0"/>
        <w:spacing w:before="0" w:after="0"/>
        <w:ind w:left="0" w:right="0" w:firstLine="720"/>
        <w:jc w:val="left"/>
        <w:rPr>
          <w:rFonts w:ascii="Arial;Helvetica;sans-serif" w:hAnsi="Arial;Helvetica;sans-serif"/>
          <w:sz w:val="20"/>
        </w:rPr>
      </w:pPr>
      <w:bookmarkStart w:id="1193" w:name="_Hlk181190945"/>
      <w:bookmarkStart w:id="1194" w:name="_Hlk181263180"/>
      <w:bookmarkEnd w:id="1193"/>
      <w:bookmarkEnd w:id="1194"/>
      <w:r>
        <w:rPr>
          <w:rFonts w:ascii="Arial;Helvetica;sans-serif" w:hAnsi="Arial;Helvetica;sans-serif"/>
          <w:sz w:val="20"/>
        </w:rPr>
        <w:t>In July 2022, we launched Kylee™ a free mobile app that makes it easier for patients to manage their conditions by tracking treatments and symptoms, as well as having direct access to educational resources. Flexitouch Plus and Nimbl devices include Bluetooth technology, which is viewable using Kylee.</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For the three months ended June 30, 2026, we generated revenue of $85.7 million and had net income of $7.8 million, compared to revenue of $78.9 million and net income of $3.2 million for the three months ended June 30, 2025. For the six months ended June 30, 2026, we generated revenue of $161.0 million and had net income of $6.0 million, compared to revenue of $140.2 million and net income of $0.2 million for the six months ended June 30, 2025. Our primary sources of capital since our initial public offering in 2016 have been from operating income, bank financing and our public offering in February 2023.</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We operate in one segment for financial reporting purposes.</w:t>
      </w:r>
    </w:p>
    <w:p>
      <w:pPr>
        <w:pStyle w:val="TextBody"/>
        <w:bidi w:val="0"/>
        <w:spacing w:before="28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0" w:after="240"/>
        <w:ind w:left="0" w:right="0" w:hanging="0"/>
        <w:jc w:val="left"/>
        <w:rPr>
          <w:rFonts w:ascii="Arial;Helvetica;sans-serif" w:hAnsi="Arial;Helvetica;sans-serif"/>
          <w:b/>
          <w:sz w:val="20"/>
        </w:rPr>
      </w:pPr>
      <w:bookmarkStart w:id="1195" w:name="_b421da08_24c8_41fd_953c_5f14eadeca47"/>
      <w:bookmarkEnd w:id="1195"/>
      <w:r>
        <w:rPr>
          <w:rFonts w:ascii="Arial;Helvetica;sans-serif" w:hAnsi="Arial;Helvetica;sans-serif"/>
          <w:b/>
          <w:sz w:val="20"/>
        </w:rPr>
        <w:t>Results of Operations</w:t>
      </w:r>
    </w:p>
    <w:p>
      <w:pPr>
        <w:pStyle w:val="TextBody"/>
        <w:bidi w:val="0"/>
        <w:spacing w:before="0" w:after="240"/>
        <w:ind w:left="0" w:right="0" w:hanging="0"/>
        <w:jc w:val="both"/>
        <w:rPr>
          <w:rFonts w:ascii="Arial;Helvetica;sans-serif" w:hAnsi="Arial;Helvetica;sans-serif"/>
          <w:b/>
          <w:i/>
          <w:sz w:val="20"/>
          <w:shd w:fill="FFFFFF" w:val="clear"/>
        </w:rPr>
      </w:pPr>
      <w:bookmarkStart w:id="1196" w:name="_43235a9b_abdd_4de7_af44_1bfefeb05397"/>
      <w:bookmarkEnd w:id="1196"/>
      <w:r>
        <w:rPr>
          <w:rFonts w:ascii="Arial;Helvetica;sans-serif" w:hAnsi="Arial;Helvetica;sans-serif"/>
          <w:b/>
          <w:i/>
          <w:sz w:val="20"/>
          <w:shd w:fill="FFFFFF" w:val="clear"/>
        </w:rPr>
        <w:t>Comparison of the Three and Six Months Ended June 30, 2026 and 2025</w:t>
      </w:r>
    </w:p>
    <w:p>
      <w:pPr>
        <w:pStyle w:val="TextBody"/>
        <w:bidi w:val="0"/>
        <w:spacing w:before="0" w:after="24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The following table presents our results of operations for the periods indicated:</w:t>
      </w:r>
    </w:p>
    <w:tbl>
      <w:tblPr>
        <w:tblW w:w="9605" w:type="dxa"/>
        <w:jc w:val="left"/>
        <w:tblInd w:w="0" w:type="dxa"/>
        <w:tblLayout w:type="fixed"/>
        <w:tblCellMar>
          <w:top w:w="0" w:type="dxa"/>
          <w:left w:w="0" w:type="dxa"/>
          <w:bottom w:w="0" w:type="dxa"/>
          <w:right w:w="0" w:type="dxa"/>
        </w:tblCellMar>
      </w:tblPr>
      <w:tblGrid>
        <w:gridCol w:w="3886"/>
        <w:gridCol w:w="109"/>
        <w:gridCol w:w="211"/>
        <w:gridCol w:w="691"/>
        <w:gridCol w:w="109"/>
        <w:gridCol w:w="438"/>
        <w:gridCol w:w="298"/>
        <w:gridCol w:w="109"/>
        <w:gridCol w:w="211"/>
        <w:gridCol w:w="691"/>
        <w:gridCol w:w="109"/>
        <w:gridCol w:w="438"/>
        <w:gridCol w:w="298"/>
        <w:gridCol w:w="109"/>
        <w:gridCol w:w="211"/>
        <w:gridCol w:w="706"/>
        <w:gridCol w:w="109"/>
        <w:gridCol w:w="541"/>
        <w:gridCol w:w="33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467610" cy="175260"/>
                      <wp:effectExtent l="0" t="0" r="0" b="0"/>
                      <wp:wrapNone/>
                      <wp:docPr id="261" name="Frame261"/>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38785" cy="175260"/>
                      <wp:effectExtent l="0" t="0" r="0" b="0"/>
                      <wp:wrapNone/>
                      <wp:docPr id="264" name="Frame2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38785" cy="175260"/>
                      <wp:effectExtent l="0" t="0" r="0" b="0"/>
                      <wp:wrapNone/>
                      <wp:docPr id="268" name="Frame2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48310" cy="175260"/>
                      <wp:effectExtent l="0" t="0" r="0" b="0"/>
                      <wp:wrapNone/>
                      <wp:docPr id="272" name="Frame27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43535" cy="175260"/>
                      <wp:effectExtent l="0" t="0" r="0" b="0"/>
                      <wp:wrapNone/>
                      <wp:docPr id="274" name="Frame27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0185" cy="175260"/>
                      <wp:effectExtent l="0" t="0" r="0" b="0"/>
                      <wp:wrapNone/>
                      <wp:docPr id="275" name="Frame27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3" w:type="dxa"/>
            <w:gridSpan w:val="11"/>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w:t>
            </w:r>
          </w:p>
        </w:tc>
        <w:tc>
          <w:tcPr>
            <w:tcW w:w="109" w:type="dxa"/>
            <w:tcBorders/>
            <w:vAlign w:val="center"/>
          </w:tcPr>
          <w:p>
            <w:pPr>
              <w:pStyle w:val="TableContents"/>
              <w:bidi w:val="0"/>
              <w:spacing w:before="0" w:after="0"/>
              <w:ind w:left="0" w:right="0" w:hanging="0"/>
              <w:jc w:val="left"/>
              <w:rPr/>
            </w:pPr>
            <w:r>
              <w:rPr/>
              <w:t>​</w:t>
            </w:r>
          </w:p>
        </w:tc>
        <w:tc>
          <w:tcPr>
            <w:tcW w:w="18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109" w:type="dxa"/>
            <w:tcBorders/>
            <w:vAlign w:val="center"/>
          </w:tcPr>
          <w:p>
            <w:pPr>
              <w:pStyle w:val="TableContents"/>
              <w:bidi w:val="0"/>
              <w:spacing w:before="0" w:after="0"/>
              <w:ind w:left="0" w:right="0" w:hanging="0"/>
              <w:jc w:val="left"/>
              <w:rPr/>
            </w:pPr>
            <w:r>
              <w:rPr/>
              <w:t>​</w:t>
            </w:r>
          </w:p>
        </w:tc>
        <w:tc>
          <w:tcPr>
            <w:tcW w:w="17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0"/>
              <w:ind w:left="0" w:right="0" w:hanging="0"/>
              <w:jc w:val="left"/>
              <w:rPr/>
            </w:pPr>
            <w:r>
              <w:rPr/>
              <w:t>​</w:t>
            </w:r>
          </w:p>
        </w:tc>
        <w:tc>
          <w:tcPr>
            <w:tcW w:w="17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Condensed Consolidated Statement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center"/>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of Operations Data: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center"/>
              <w:rPr/>
            </w:pPr>
            <w:r>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center"/>
              <w:rPr/>
            </w:pPr>
            <w:r>
              <w:rPr/>
              <w:t>​</w:t>
            </w:r>
          </w:p>
        </w:tc>
        <w:tc>
          <w:tcPr>
            <w:tcW w:w="29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center"/>
              <w:rPr/>
            </w:pPr>
            <w:r>
              <w:rPr/>
              <w:t>​</w:t>
            </w:r>
          </w:p>
        </w:tc>
        <w:tc>
          <w:tcPr>
            <w:tcW w:w="29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center"/>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76,489</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70,531</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5,958</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Rental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9,209</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8,374</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835</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85,698</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78,905</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6,793</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17,628</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17,483</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rental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2,721</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2,629</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cost of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20,349</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20,112</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 - sales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58,861</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53,048</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5,813</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 - rental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6,488</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5,745</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743</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65,349</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58,793</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6,556</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right"/>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Sales and marketing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32,012</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30,039</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1,973</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2,501</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2,018</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483</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Reimbursement, general and administrative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23,360</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22,034</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1,326</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Intangible asset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619</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58,523</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54,710</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3,813</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6,826</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4,083</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2,743</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850</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(410)</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Income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7,368</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4,524</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2,844</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(benefit)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(417)</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1,307</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(1,724)</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7,785</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3,217</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4,568</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tbl>
      <w:tblPr>
        <w:tblW w:w="9800" w:type="dxa"/>
        <w:jc w:val="left"/>
        <w:tblInd w:w="0" w:type="dxa"/>
        <w:tblLayout w:type="fixed"/>
        <w:tblCellMar>
          <w:top w:w="0" w:type="dxa"/>
          <w:left w:w="0" w:type="dxa"/>
          <w:bottom w:w="0" w:type="dxa"/>
          <w:right w:w="0" w:type="dxa"/>
        </w:tblCellMar>
      </w:tblPr>
      <w:tblGrid>
        <w:gridCol w:w="3886"/>
        <w:gridCol w:w="109"/>
        <w:gridCol w:w="211"/>
        <w:gridCol w:w="796"/>
        <w:gridCol w:w="109"/>
        <w:gridCol w:w="438"/>
        <w:gridCol w:w="298"/>
        <w:gridCol w:w="109"/>
        <w:gridCol w:w="211"/>
        <w:gridCol w:w="796"/>
        <w:gridCol w:w="109"/>
        <w:gridCol w:w="438"/>
        <w:gridCol w:w="298"/>
        <w:gridCol w:w="109"/>
        <w:gridCol w:w="211"/>
        <w:gridCol w:w="691"/>
        <w:gridCol w:w="109"/>
        <w:gridCol w:w="541"/>
        <w:gridCol w:w="33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467610" cy="175260"/>
                      <wp:effectExtent l="0" t="0" r="0" b="0"/>
                      <wp:wrapNone/>
                      <wp:docPr id="276" name="Frame276"/>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05460" cy="175260"/>
                      <wp:effectExtent l="0" t="0" r="0" b="0"/>
                      <wp:wrapNone/>
                      <wp:docPr id="279" name="Frame2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05460" cy="175260"/>
                      <wp:effectExtent l="0" t="0" r="0" b="0"/>
                      <wp:wrapNone/>
                      <wp:docPr id="283" name="Frame2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38785" cy="175260"/>
                      <wp:effectExtent l="0" t="0" r="0" b="0"/>
                      <wp:wrapNone/>
                      <wp:docPr id="287" name="Frame2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43535" cy="175260"/>
                      <wp:effectExtent l="0" t="0" r="0" b="0"/>
                      <wp:wrapNone/>
                      <wp:docPr id="289" name="Frame28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0185" cy="175260"/>
                      <wp:effectExtent l="0" t="0" r="0" b="0"/>
                      <wp:wrapNone/>
                      <wp:docPr id="290" name="Frame29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13" w:type="dxa"/>
            <w:gridSpan w:val="11"/>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Six Months Ended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1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30,</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w:t>
            </w:r>
          </w:p>
        </w:tc>
        <w:tc>
          <w:tcPr>
            <w:tcW w:w="109" w:type="dxa"/>
            <w:tcBorders/>
            <w:vAlign w:val="center"/>
          </w:tcPr>
          <w:p>
            <w:pPr>
              <w:pStyle w:val="TableContents"/>
              <w:bidi w:val="0"/>
              <w:spacing w:before="0" w:after="0"/>
              <w:ind w:left="0" w:right="0" w:hanging="0"/>
              <w:jc w:val="left"/>
              <w:rPr/>
            </w:pPr>
            <w:r>
              <w:rPr/>
              <w:t>​</w:t>
            </w:r>
          </w:p>
        </w:tc>
        <w:tc>
          <w:tcPr>
            <w:tcW w:w="18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0"/>
              <w:ind w:left="0" w:right="0" w:hanging="0"/>
              <w:jc w:val="left"/>
              <w:rPr/>
            </w:pPr>
            <w:r>
              <w:rPr/>
              <w:t>​</w:t>
            </w:r>
          </w:p>
        </w:tc>
        <w:tc>
          <w:tcPr>
            <w:tcW w:w="18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t>
            </w:r>
          </w:p>
        </w:tc>
        <w:tc>
          <w:tcPr>
            <w:tcW w:w="109"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Condensed Consolidated Statement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gridSpan w:val="2"/>
            <w:tcBorders/>
            <w:shd w:fill="CCEEFF"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center"/>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of Operations Data: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center"/>
              <w:rPr/>
            </w:pPr>
            <w:r>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center"/>
              <w:rPr/>
            </w:pPr>
            <w:r>
              <w:rPr/>
              <w:t>​</w:t>
            </w:r>
          </w:p>
        </w:tc>
        <w:tc>
          <w:tcPr>
            <w:tcW w:w="29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center"/>
              <w:rPr/>
            </w:pPr>
            <w:r>
              <w:rPr/>
              <w:t>​</w:t>
            </w:r>
          </w:p>
        </w:tc>
        <w:tc>
          <w:tcPr>
            <w:tcW w:w="29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center"/>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143,455</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123,000</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20,455</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Rental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17,510</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17,173</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160,965</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140,173</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20,792</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32,887</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31,374</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1,513</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rental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5,115</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4,660</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455</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cost of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38,002</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36,034</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1,968</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 - sales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110,568</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91,626</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18,942</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 - rental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12,395</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12,513</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122,963</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104,139</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18,824</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right"/>
              <w:rPr/>
            </w:pPr>
            <w:r>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Sales and marketing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64,744</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57,555</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7,189</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5,277</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3,759</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1,518</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Reimbursement, general and administrative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46,404</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42,032</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4,372</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Intangible asset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1,246</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1,252</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117,671</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104,598</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13,073</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Income (loss)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5,292</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(459)</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5,751</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N.M.</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1,227</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1,745</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(518)</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(834)</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787</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Income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6,472</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453</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6,019</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N.M.</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450</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88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6,022</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243</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5,779</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N.M.</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224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8740" cy="175260"/>
                      <wp:effectExtent l="0" t="0" r="0" b="0"/>
                      <wp:wrapNone/>
                      <wp:docPr id="291" name="Frame29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97790" cy="175260"/>
                      <wp:effectExtent l="0" t="0" r="0" b="0"/>
                      <wp:wrapNone/>
                      <wp:docPr id="306" name="Frame3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shd w:fill="FFFFFF" w:val="clear"/>
        <w:bidi w:val="0"/>
        <w:spacing w:before="0" w:after="240"/>
        <w:ind w:left="0" w:right="0" w:hanging="0"/>
        <w:jc w:val="both"/>
        <w:rPr>
          <w:rFonts w:ascii="Arial;Helvetica;sans-serif" w:hAnsi="Arial;Helvetica;sans-serif"/>
          <w:b/>
          <w:i/>
          <w:sz w:val="20"/>
        </w:rPr>
      </w:pPr>
      <w:bookmarkStart w:id="1197" w:name="_1eeb01b8_f219_4c3b_b5b8_d492b2051fdf"/>
      <w:bookmarkEnd w:id="1197"/>
      <w:r>
        <w:rPr>
          <w:rFonts w:ascii="Arial;Helvetica;sans-serif" w:hAnsi="Arial;Helvetica;sans-serif"/>
          <w:b/>
          <w:i/>
          <w:sz w:val="20"/>
        </w:rPr>
        <w:t>Revenue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Revenue increased $6.8 million, or 9%, to $85.7 million in the three months ended June 30, 2026, compared to $78.9 million in the three months ended June 30, 2025. The increase in total revenue was attributable to an increase of $7.7 million, or 12%, in sales and rentals of the lymphedema product line in the three months ended June 30, 2026, compared to the three months ended June 30, 2025. The increase was partially offset by a decrease of $0.9 million, or 7%, in sales of the airway clearance product line in the three months ended June 30, 2026, compared to the three months ended June 30, 2025. </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Revenue increased $20.8 million, or 15%, to $161.0 million in the six months ended June 30, 2026, compared to $140.2 million in the six months ended June 30, 2025. The increase in total revenue was attributable to an increase of $19.3 million, or 17%, in sales and rentals of the lymphedema product line and an increase of $1.5 million, or 6%, in sales of the airway clearance product line in the six months ended June 30, 2026, compared to the six months ended June 30, 2025.</w:t>
      </w:r>
    </w:p>
    <w:p>
      <w:pPr>
        <w:pStyle w:val="TextBody"/>
        <w:pBdr/>
        <w:bidi w:val="0"/>
        <w:spacing w:before="0" w:after="0"/>
        <w:ind w:left="0" w:right="0" w:firstLine="720"/>
        <w:jc w:val="both"/>
        <w:rPr>
          <w:rFonts w:ascii="Times New Roman;Times;serif" w:hAnsi="Times New Roman;Times;serif"/>
          <w:sz w:val="20"/>
        </w:rPr>
      </w:pPr>
      <w:r>
        <w:rPr>
          <w:rFonts w:ascii="Arial;Helvetica;sans-serif" w:hAnsi="Arial;Helvetica;sans-serif"/>
          <w:sz w:val="20"/>
        </w:rPr>
        <w:t>The increase in the lymphedema product line revenue in the three and six months ended June 30, 2026, was driven by accelerating commercial momentum from our strong partnerships, execution of our go-to-market commercial strategy and disciplined focus on sales force productivity.</w:t>
      </w:r>
      <w:r>
        <w:rPr>
          <w:rFonts w:ascii="Times New Roman;Times;serif" w:hAnsi="Times New Roman;Times;serif"/>
          <w:sz w:val="20"/>
        </w:rPr>
        <w:t xml:space="preserve"> </w:t>
      </w:r>
      <w:r>
        <w:rPr>
          <w:rFonts w:ascii="Arial;Helvetica;sans-serif" w:hAnsi="Arial;Helvetica;sans-serif"/>
          <w:sz w:val="20"/>
        </w:rPr>
        <w:t>The decrease in the airway clearance product line revenue for the three months ended June 30, 2026 was primarily driven by inventory timing dynamics among a few large DME providers. The increase in the airway clearance product line revenue for the six months ended June 30, 2026 was primarily driven by strong partnerships and prioritized placement agreements with our top 10 respiratory DME providers.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The following tables summarize our revenue by product line for the three and six months ended June 30, 2026 and 2025, both in dollars and percentage of total revenue: </w:t>
      </w:r>
    </w:p>
    <w:tbl>
      <w:tblPr>
        <w:tblW w:w="6613" w:type="dxa"/>
        <w:jc w:val="left"/>
        <w:tblInd w:w="0" w:type="dxa"/>
        <w:tblLayout w:type="fixed"/>
        <w:tblCellMar>
          <w:top w:w="0" w:type="dxa"/>
          <w:left w:w="0" w:type="dxa"/>
          <w:bottom w:w="0" w:type="dxa"/>
          <w:right w:w="0" w:type="dxa"/>
        </w:tblCellMar>
      </w:tblPr>
      <w:tblGrid>
        <w:gridCol w:w="2656"/>
        <w:gridCol w:w="346"/>
        <w:gridCol w:w="225"/>
        <w:gridCol w:w="737"/>
        <w:gridCol w:w="116"/>
        <w:gridCol w:w="225"/>
        <w:gridCol w:w="737"/>
        <w:gridCol w:w="109"/>
        <w:gridCol w:w="211"/>
        <w:gridCol w:w="586"/>
        <w:gridCol w:w="109"/>
        <w:gridCol w:w="55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686560" cy="175895"/>
                      <wp:effectExtent l="0" t="0" r="0" b="0"/>
                      <wp:wrapNone/>
                      <wp:docPr id="307" name="Frame307"/>
                      <a:graphic xmlns:a="http://schemas.openxmlformats.org/drawingml/2006/main">
                        <a:graphicData uri="http://schemas.microsoft.com/office/word/2010/wordprocessingShape">
                          <wps:wsp>
                            <wps:cNvSpPr txBox="1"/>
                            <wps:spPr>
                              <a:xfrm>
                                <a:off x="0" y="0"/>
                                <a:ext cx="1686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895"/>
                      <wp:effectExtent l="0" t="0" r="0" b="0"/>
                      <wp:wrapNone/>
                      <wp:docPr id="308" name="Frame30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42875" cy="175895"/>
                      <wp:effectExtent l="0" t="0" r="0" b="0"/>
                      <wp:wrapNone/>
                      <wp:docPr id="309" name="Frame309"/>
                      <a:graphic xmlns:a="http://schemas.openxmlformats.org/drawingml/2006/main">
                        <a:graphicData uri="http://schemas.microsoft.com/office/word/2010/wordprocessingShape">
                          <wps:wsp>
                            <wps:cNvSpPr txBox="1"/>
                            <wps:spPr>
                              <a:xfrm>
                                <a:off x="0" y="0"/>
                                <a:ext cx="1428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67995" cy="175895"/>
                      <wp:effectExtent l="0" t="0" r="0" b="0"/>
                      <wp:wrapNone/>
                      <wp:docPr id="310" name="Frame310"/>
                      <a:graphic xmlns:a="http://schemas.openxmlformats.org/drawingml/2006/main">
                        <a:graphicData uri="http://schemas.microsoft.com/office/word/2010/wordprocessingShape">
                          <wps:wsp>
                            <wps:cNvSpPr txBox="1"/>
                            <wps:spPr>
                              <a:xfrm>
                                <a:off x="0" y="0"/>
                                <a:ext cx="4679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73660" cy="175895"/>
                      <wp:effectExtent l="0" t="0" r="0" b="0"/>
                      <wp:wrapNone/>
                      <wp:docPr id="311" name="Frame311"/>
                      <a:graphic xmlns:a="http://schemas.openxmlformats.org/drawingml/2006/main">
                        <a:graphicData uri="http://schemas.microsoft.com/office/word/2010/wordprocessingShape">
                          <wps:wsp>
                            <wps:cNvSpPr txBox="1"/>
                            <wps:spPr>
                              <a:xfrm>
                                <a:off x="0" y="0"/>
                                <a:ext cx="73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42875" cy="175895"/>
                      <wp:effectExtent l="0" t="0" r="0" b="0"/>
                      <wp:wrapNone/>
                      <wp:docPr id="312" name="Frame312"/>
                      <a:graphic xmlns:a="http://schemas.openxmlformats.org/drawingml/2006/main">
                        <a:graphicData uri="http://schemas.microsoft.com/office/word/2010/wordprocessingShape">
                          <wps:wsp>
                            <wps:cNvSpPr txBox="1"/>
                            <wps:spPr>
                              <a:xfrm>
                                <a:off x="0" y="0"/>
                                <a:ext cx="1428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67995" cy="175895"/>
                      <wp:effectExtent l="0" t="0" r="0" b="0"/>
                      <wp:wrapNone/>
                      <wp:docPr id="313" name="Frame313"/>
                      <a:graphic xmlns:a="http://schemas.openxmlformats.org/drawingml/2006/main">
                        <a:graphicData uri="http://schemas.microsoft.com/office/word/2010/wordprocessingShape">
                          <wps:wsp>
                            <wps:cNvSpPr txBox="1"/>
                            <wps:spPr>
                              <a:xfrm>
                                <a:off x="0" y="0"/>
                                <a:ext cx="4679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895"/>
                      <wp:effectExtent l="0" t="0" r="0" b="0"/>
                      <wp:wrapNone/>
                      <wp:docPr id="314" name="Frame31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895"/>
                      <wp:effectExtent l="0" t="0" r="0" b="0"/>
                      <wp:wrapNone/>
                      <wp:docPr id="315" name="Frame31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72110" cy="175895"/>
                      <wp:effectExtent l="0" t="0" r="0" b="0"/>
                      <wp:wrapNone/>
                      <wp:docPr id="316" name="Frame316"/>
                      <a:graphic xmlns:a="http://schemas.openxmlformats.org/drawingml/2006/main">
                        <a:graphicData uri="http://schemas.microsoft.com/office/word/2010/wordprocessingShape">
                          <wps:wsp>
                            <wps:cNvSpPr txBox="1"/>
                            <wps:spPr>
                              <a:xfrm>
                                <a:off x="0" y="0"/>
                                <a:ext cx="372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895"/>
                      <wp:effectExtent l="0" t="0" r="0" b="0"/>
                      <wp:wrapNone/>
                      <wp:docPr id="317" name="Frame31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53060" cy="175895"/>
                      <wp:effectExtent l="0" t="0" r="0" b="0"/>
                      <wp:wrapNone/>
                      <wp:docPr id="318" name="Frame318"/>
                      <a:graphic xmlns:a="http://schemas.openxmlformats.org/drawingml/2006/main">
                        <a:graphicData uri="http://schemas.microsoft.com/office/word/2010/wordprocessingShape">
                          <wps:wsp>
                            <wps:cNvSpPr txBox="1"/>
                            <wps:spPr>
                              <a:xfrm>
                                <a:off x="0" y="0"/>
                                <a:ext cx="3530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40"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Three Months Ended</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556" w:type="dxa"/>
            <w:tcBorders/>
            <w:vAlign w:val="center"/>
          </w:tcPr>
          <w:p>
            <w:pPr>
              <w:pStyle w:val="TableContents"/>
              <w:bidi w:val="0"/>
              <w:spacing w:before="1" w:after="1"/>
              <w:ind w:left="0" w:right="0" w:hanging="0"/>
              <w:jc w:val="left"/>
              <w:rPr/>
            </w:pPr>
            <w:r>
              <w:rPr/>
              <w:t>​</w:t>
            </w:r>
          </w:p>
        </w:tc>
      </w:tr>
      <w:tr>
        <w:trPr/>
        <w:tc>
          <w:tcPr>
            <w:tcW w:w="265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4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w:t>
            </w:r>
          </w:p>
        </w:tc>
        <w:tc>
          <w:tcPr>
            <w:tcW w:w="109" w:type="dxa"/>
            <w:tcBorders/>
            <w:vAlign w:val="center"/>
          </w:tcPr>
          <w:p>
            <w:pPr>
              <w:pStyle w:val="TableContents"/>
              <w:bidi w:val="0"/>
              <w:spacing w:before="1" w:after="1"/>
              <w:ind w:left="0" w:right="0" w:hanging="0"/>
              <w:jc w:val="center"/>
              <w:rPr/>
            </w:pPr>
            <w:r>
              <w:rPr/>
              <w:t>​</w:t>
            </w:r>
          </w:p>
        </w:tc>
        <w:tc>
          <w:tcPr>
            <w:tcW w:w="1462" w:type="dxa"/>
            <w:gridSpan w:val="4"/>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Change</w:t>
            </w:r>
          </w:p>
        </w:tc>
      </w:tr>
      <w:tr>
        <w:trPr/>
        <w:tc>
          <w:tcPr>
            <w:tcW w:w="265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16" w:type="dxa"/>
            <w:tcBorders/>
            <w:vAlign w:val="center"/>
          </w:tcPr>
          <w:p>
            <w:pPr>
              <w:pStyle w:val="TableContents"/>
              <w:bidi w:val="0"/>
              <w:spacing w:before="1" w:after="1"/>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1"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w:t>
            </w:r>
          </w:p>
        </w:tc>
        <w:tc>
          <w:tcPr>
            <w:tcW w:w="109" w:type="dxa"/>
            <w:tcBorders/>
            <w:vAlign w:val="center"/>
          </w:tcPr>
          <w:p>
            <w:pPr>
              <w:pStyle w:val="TableContents"/>
              <w:bidi w:val="0"/>
              <w:spacing w:before="1"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w:t>
            </w:r>
          </w:p>
        </w:tc>
      </w:tr>
      <w:tr>
        <w:trPr/>
        <w:tc>
          <w:tcPr>
            <w:tcW w:w="2656" w:type="dxa"/>
            <w:tcBorders/>
            <w:shd w:fill="CCEEFF" w:val="clear"/>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Revenue</w:t>
            </w:r>
          </w:p>
        </w:tc>
        <w:tc>
          <w:tcPr>
            <w:tcW w:w="346" w:type="dxa"/>
            <w:tcBorders/>
            <w:shd w:fill="CCEEFF" w:val="clear"/>
            <w:vAlign w:val="center"/>
          </w:tcPr>
          <w:p>
            <w:pPr>
              <w:pStyle w:val="TableContents"/>
              <w:bidi w:val="0"/>
              <w:spacing w:before="1" w:after="1"/>
              <w:ind w:left="0" w:right="0" w:hanging="0"/>
              <w:jc w:val="center"/>
              <w:rPr/>
            </w:pPr>
            <w:r>
              <w:rPr/>
              <w:t>​</w:t>
            </w:r>
          </w:p>
        </w:tc>
        <w:tc>
          <w:tcPr>
            <w:tcW w:w="225" w:type="dxa"/>
            <w:tcBorders/>
            <w:shd w:fill="CCEEFF" w:val="clear"/>
            <w:vAlign w:val="center"/>
          </w:tcPr>
          <w:p>
            <w:pPr>
              <w:pStyle w:val="TableContents"/>
              <w:bidi w:val="0"/>
              <w:spacing w:before="1" w:after="1"/>
              <w:ind w:left="0" w:right="0" w:hanging="0"/>
              <w:jc w:val="center"/>
              <w:rPr/>
            </w:pPr>
            <w:r>
              <w:rPr/>
              <w:t>​</w:t>
            </w:r>
          </w:p>
        </w:tc>
        <w:tc>
          <w:tcPr>
            <w:tcW w:w="737" w:type="dxa"/>
            <w:tcBorders/>
            <w:shd w:fill="CCEEFF" w:val="clear"/>
            <w:vAlign w:val="center"/>
          </w:tcPr>
          <w:p>
            <w:pPr>
              <w:pStyle w:val="TableContents"/>
              <w:bidi w:val="0"/>
              <w:spacing w:before="1" w:after="1"/>
              <w:ind w:left="0" w:right="0" w:hanging="0"/>
              <w:jc w:val="center"/>
              <w:rPr/>
            </w:pPr>
            <w:r>
              <w:rPr/>
              <w:t>​</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center"/>
              <w:rPr/>
            </w:pPr>
            <w:r>
              <w:rPr/>
              <w:t>​</w:t>
            </w:r>
          </w:p>
        </w:tc>
        <w:tc>
          <w:tcPr>
            <w:tcW w:w="737" w:type="dxa"/>
            <w:tcBorders/>
            <w:shd w:fill="CCEEFF" w:val="clear"/>
            <w:vAlign w:val="center"/>
          </w:tcPr>
          <w:p>
            <w:pPr>
              <w:pStyle w:val="TableContents"/>
              <w:bidi w:val="0"/>
              <w:spacing w:before="1" w:after="1"/>
              <w:ind w:left="0" w:right="0" w:hanging="0"/>
              <w:jc w:val="center"/>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586" w:type="dxa"/>
            <w:tcBorders/>
            <w:shd w:fill="CCEEFF" w:val="clear"/>
            <w:vAlign w:val="center"/>
          </w:tcPr>
          <w:p>
            <w:pPr>
              <w:pStyle w:val="TableContents"/>
              <w:bidi w:val="0"/>
              <w:spacing w:before="1" w:after="1"/>
              <w:ind w:left="0" w:right="0" w:hanging="0"/>
              <w:jc w:val="center"/>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56" w:type="dxa"/>
            <w:tcBorders/>
            <w:shd w:fill="CCEEFF" w:val="clear"/>
            <w:vAlign w:val="center"/>
          </w:tcPr>
          <w:p>
            <w:pPr>
              <w:pStyle w:val="TableContents"/>
              <w:bidi w:val="0"/>
              <w:spacing w:before="1" w:after="1"/>
              <w:ind w:left="0" w:right="0" w:hanging="0"/>
              <w:jc w:val="center"/>
              <w:rPr/>
            </w:pPr>
            <w:r>
              <w:rPr/>
              <w:t>​</w:t>
            </w:r>
          </w:p>
        </w:tc>
      </w:tr>
      <w:tr>
        <w:trPr/>
        <w:tc>
          <w:tcPr>
            <w:tcW w:w="265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Lymphedema products</w:t>
            </w:r>
          </w:p>
        </w:tc>
        <w:tc>
          <w:tcPr>
            <w:tcW w:w="346" w:type="dxa"/>
            <w:tcBorders/>
            <w:vAlign w:val="center"/>
          </w:tcPr>
          <w:p>
            <w:pPr>
              <w:pStyle w:val="TableContents"/>
              <w:bidi w:val="0"/>
              <w:spacing w:before="1" w:after="1"/>
              <w:ind w:left="0" w:right="0" w:hanging="0"/>
              <w:jc w:val="left"/>
              <w:rPr/>
            </w:pPr>
            <w:r>
              <w:rPr/>
              <w:t>​</w:t>
            </w:r>
          </w:p>
        </w:tc>
        <w:tc>
          <w:tcPr>
            <w:tcW w:w="225"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73,630</w:t>
            </w:r>
          </w:p>
        </w:tc>
        <w:tc>
          <w:tcPr>
            <w:tcW w:w="116" w:type="dxa"/>
            <w:tcBorders/>
            <w:vAlign w:val="center"/>
          </w:tcPr>
          <w:p>
            <w:pPr>
              <w:pStyle w:val="TableContents"/>
              <w:bidi w:val="0"/>
              <w:spacing w:before="1" w:after="1"/>
              <w:ind w:left="0" w:right="0" w:hanging="0"/>
              <w:jc w:val="left"/>
              <w:rPr/>
            </w:pPr>
            <w:r>
              <w:rPr/>
              <w:t>​</w:t>
            </w:r>
          </w:p>
        </w:tc>
        <w:tc>
          <w:tcPr>
            <w:tcW w:w="225"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65,969</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7,661</w:t>
            </w:r>
          </w:p>
        </w:tc>
        <w:tc>
          <w:tcPr>
            <w:tcW w:w="109" w:type="dxa"/>
            <w:tcBorders/>
            <w:vAlign w:val="center"/>
          </w:tcPr>
          <w:p>
            <w:pPr>
              <w:pStyle w:val="TableContents"/>
              <w:bidi w:val="0"/>
              <w:spacing w:before="1" w:after="1"/>
              <w:ind w:left="0" w:right="0" w:hanging="0"/>
              <w:jc w:val="left"/>
              <w:rPr/>
            </w:pPr>
            <w:r>
              <w:rPr/>
              <w:t>​</w:t>
            </w:r>
          </w:p>
        </w:tc>
        <w:tc>
          <w:tcPr>
            <w:tcW w:w="55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w:t>
            </w:r>
          </w:p>
        </w:tc>
      </w:tr>
      <w:tr>
        <w:trPr/>
        <w:tc>
          <w:tcPr>
            <w:tcW w:w="265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Airway clearance products</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12,068</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12,936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(868)</w:t>
            </w:r>
          </w:p>
        </w:tc>
        <w:tc>
          <w:tcPr>
            <w:tcW w:w="109" w:type="dxa"/>
            <w:tcBorders/>
            <w:shd w:fill="CCEEFF" w:val="clear"/>
            <w:vAlign w:val="center"/>
          </w:tcPr>
          <w:p>
            <w:pPr>
              <w:pStyle w:val="TableContents"/>
              <w:bidi w:val="0"/>
              <w:spacing w:before="1" w:after="1"/>
              <w:ind w:left="0" w:right="0" w:hanging="0"/>
              <w:jc w:val="left"/>
              <w:rPr/>
            </w:pPr>
            <w:r>
              <w:rPr/>
              <w:t>​</w:t>
            </w:r>
          </w:p>
        </w:tc>
        <w:tc>
          <w:tcPr>
            <w:tcW w:w="55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w:t>
            </w:r>
          </w:p>
        </w:tc>
      </w:tr>
      <w:tr>
        <w:trPr/>
        <w:tc>
          <w:tcPr>
            <w:tcW w:w="265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1"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85,698</w:t>
            </w:r>
          </w:p>
        </w:tc>
        <w:tc>
          <w:tcPr>
            <w:tcW w:w="116" w:type="dxa"/>
            <w:tcBorders/>
            <w:vAlign w:val="center"/>
          </w:tcPr>
          <w:p>
            <w:pPr>
              <w:pStyle w:val="TableContents"/>
              <w:bidi w:val="0"/>
              <w:spacing w:before="1"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37"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78,905</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6,793</w:t>
            </w:r>
          </w:p>
        </w:tc>
        <w:tc>
          <w:tcPr>
            <w:tcW w:w="109" w:type="dxa"/>
            <w:tcBorders/>
            <w:vAlign w:val="center"/>
          </w:tcPr>
          <w:p>
            <w:pPr>
              <w:pStyle w:val="TableContents"/>
              <w:bidi w:val="0"/>
              <w:spacing w:before="1" w:after="1"/>
              <w:ind w:left="0" w:right="0" w:hanging="0"/>
              <w:jc w:val="left"/>
              <w:rPr/>
            </w:pPr>
            <w:r>
              <w:rPr/>
              <w:t>​</w:t>
            </w:r>
          </w:p>
        </w:tc>
        <w:tc>
          <w:tcPr>
            <w:tcW w:w="55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9%</w:t>
            </w:r>
          </w:p>
        </w:tc>
      </w:tr>
      <w:tr>
        <w:trPr/>
        <w:tc>
          <w:tcPr>
            <w:tcW w:w="2656"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w:t>
            </w:r>
          </w:p>
        </w:tc>
        <w:tc>
          <w:tcPr>
            <w:tcW w:w="737" w:type="dxa"/>
            <w:tcBorders/>
            <w:shd w:fill="CCEEFF" w:val="clear"/>
            <w:vAlign w:val="center"/>
          </w:tcPr>
          <w:p>
            <w:pPr>
              <w:pStyle w:val="TableContents"/>
              <w:bidi w:val="0"/>
              <w:spacing w:before="1" w:after="1"/>
              <w:ind w:left="0" w:right="0" w:hanging="0"/>
              <w:jc w:val="right"/>
              <w:rPr/>
            </w:pPr>
            <w:r>
              <w:rPr/>
              <w:t>​</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w:t>
            </w:r>
          </w:p>
        </w:tc>
        <w:tc>
          <w:tcPr>
            <w:tcW w:w="737"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56" w:type="dxa"/>
            <w:tcBorders/>
            <w:shd w:fill="CCEEFF" w:val="clear"/>
            <w:vAlign w:val="center"/>
          </w:tcPr>
          <w:p>
            <w:pPr>
              <w:pStyle w:val="TableContents"/>
              <w:bidi w:val="0"/>
              <w:spacing w:before="1" w:after="1"/>
              <w:ind w:left="0" w:right="0" w:hanging="0"/>
              <w:jc w:val="right"/>
              <w:rPr/>
            </w:pPr>
            <w:r>
              <w:rPr/>
              <w:t>​</w:t>
            </w:r>
          </w:p>
        </w:tc>
      </w:tr>
      <w:tr>
        <w:trPr/>
        <w:tc>
          <w:tcPr>
            <w:tcW w:w="2656" w:type="dxa"/>
            <w:tcBorders/>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Percentage of total revenue</w:t>
            </w:r>
          </w:p>
        </w:tc>
        <w:tc>
          <w:tcPr>
            <w:tcW w:w="346" w:type="dxa"/>
            <w:tcBorders/>
            <w:vAlign w:val="center"/>
          </w:tcPr>
          <w:p>
            <w:pPr>
              <w:pStyle w:val="TableContents"/>
              <w:bidi w:val="0"/>
              <w:spacing w:before="1" w:after="1"/>
              <w:ind w:left="0" w:right="0" w:hanging="0"/>
              <w:jc w:val="left"/>
              <w:rPr/>
            </w:pPr>
            <w:r>
              <w:rPr/>
              <w:t>​</w:t>
            </w:r>
          </w:p>
        </w:tc>
        <w:tc>
          <w:tcPr>
            <w:tcW w:w="225" w:type="dxa"/>
            <w:tcBorders/>
            <w:vAlign w:val="center"/>
          </w:tcPr>
          <w:p>
            <w:pPr>
              <w:pStyle w:val="TableContents"/>
              <w:bidi w:val="0"/>
              <w:spacing w:before="1" w:after="1"/>
              <w:ind w:left="0" w:right="0" w:hanging="0"/>
              <w:jc w:val="left"/>
              <w:rPr/>
            </w:pPr>
            <w:r>
              <w:rPr/>
              <w:t>​</w:t>
            </w:r>
          </w:p>
        </w:tc>
        <w:tc>
          <w:tcPr>
            <w:tcW w:w="737" w:type="dxa"/>
            <w:tcBorders/>
            <w:vAlign w:val="center"/>
          </w:tcPr>
          <w:p>
            <w:pPr>
              <w:pStyle w:val="TableContents"/>
              <w:bidi w:val="0"/>
              <w:spacing w:before="1" w:after="1"/>
              <w:ind w:left="0" w:right="0" w:hanging="0"/>
              <w:jc w:val="left"/>
              <w:rPr/>
            </w:pPr>
            <w:r>
              <w:rPr/>
              <w:t>​</w:t>
            </w:r>
          </w:p>
        </w:tc>
        <w:tc>
          <w:tcPr>
            <w:tcW w:w="116" w:type="dxa"/>
            <w:tcBorders/>
            <w:vAlign w:val="center"/>
          </w:tcPr>
          <w:p>
            <w:pPr>
              <w:pStyle w:val="TableContents"/>
              <w:bidi w:val="0"/>
              <w:spacing w:before="1" w:after="1"/>
              <w:ind w:left="0" w:right="0" w:hanging="0"/>
              <w:jc w:val="left"/>
              <w:rPr/>
            </w:pPr>
            <w:r>
              <w:rPr/>
              <w:t>​</w:t>
            </w:r>
          </w:p>
        </w:tc>
        <w:tc>
          <w:tcPr>
            <w:tcW w:w="225" w:type="dxa"/>
            <w:tcBorders/>
            <w:vAlign w:val="center"/>
          </w:tcPr>
          <w:p>
            <w:pPr>
              <w:pStyle w:val="TableContents"/>
              <w:bidi w:val="0"/>
              <w:spacing w:before="1" w:after="1"/>
              <w:ind w:left="0" w:right="0" w:hanging="0"/>
              <w:jc w:val="left"/>
              <w:rPr/>
            </w:pPr>
            <w:r>
              <w:rPr/>
              <w:t>​</w:t>
            </w:r>
          </w:p>
        </w:tc>
        <w:tc>
          <w:tcPr>
            <w:tcW w:w="737"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556" w:type="dxa"/>
            <w:tcBorders/>
            <w:vAlign w:val="center"/>
          </w:tcPr>
          <w:p>
            <w:pPr>
              <w:pStyle w:val="TableContents"/>
              <w:bidi w:val="0"/>
              <w:spacing w:before="1" w:after="1"/>
              <w:ind w:left="0" w:right="0" w:hanging="0"/>
              <w:jc w:val="left"/>
              <w:rPr/>
            </w:pPr>
            <w:r>
              <w:rPr/>
              <w:t>​</w:t>
            </w:r>
          </w:p>
        </w:tc>
      </w:tr>
      <w:tr>
        <w:trPr/>
        <w:tc>
          <w:tcPr>
            <w:tcW w:w="265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Lymphedema products</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 </w:t>
            </w:r>
          </w:p>
        </w:tc>
        <w:tc>
          <w:tcPr>
            <w:tcW w:w="73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86%</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shd w:fill="CCEEFF" w:val="clear"/>
            <w:vAlign w:val="center"/>
          </w:tcPr>
          <w:p>
            <w:pPr>
              <w:pStyle w:val="TableContents"/>
              <w:bidi w:val="0"/>
              <w:spacing w:before="1" w:after="1"/>
              <w:ind w:left="0" w:right="0" w:hanging="0"/>
              <w:jc w:val="left"/>
              <w:rPr/>
            </w:pPr>
            <w:r>
              <w:rPr/>
              <w:t> </w:t>
            </w:r>
          </w:p>
        </w:tc>
        <w:tc>
          <w:tcPr>
            <w:tcW w:w="737"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86"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56" w:type="dxa"/>
            <w:tcBorders/>
            <w:shd w:fill="CCEEFF" w:val="clear"/>
            <w:vAlign w:val="center"/>
          </w:tcPr>
          <w:p>
            <w:pPr>
              <w:pStyle w:val="TableContents"/>
              <w:bidi w:val="0"/>
              <w:spacing w:before="1" w:after="1"/>
              <w:ind w:left="0" w:right="0" w:hanging="0"/>
              <w:jc w:val="left"/>
              <w:rPr/>
            </w:pPr>
            <w:r>
              <w:rPr/>
              <w:t>​</w:t>
            </w:r>
          </w:p>
        </w:tc>
      </w:tr>
      <w:tr>
        <w:trPr/>
        <w:tc>
          <w:tcPr>
            <w:tcW w:w="265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Airway clearance products</w:t>
            </w:r>
          </w:p>
        </w:tc>
        <w:tc>
          <w:tcPr>
            <w:tcW w:w="346" w:type="dxa"/>
            <w:tcBorders/>
            <w:vAlign w:val="center"/>
          </w:tcPr>
          <w:p>
            <w:pPr>
              <w:pStyle w:val="TableContents"/>
              <w:bidi w:val="0"/>
              <w:spacing w:before="1"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14%</w:t>
            </w:r>
          </w:p>
        </w:tc>
        <w:tc>
          <w:tcPr>
            <w:tcW w:w="116" w:type="dxa"/>
            <w:tcBorders/>
            <w:vAlign w:val="center"/>
          </w:tcPr>
          <w:p>
            <w:pPr>
              <w:pStyle w:val="TableContents"/>
              <w:bidi w:val="0"/>
              <w:spacing w:before="1"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556" w:type="dxa"/>
            <w:tcBorders/>
            <w:vAlign w:val="center"/>
          </w:tcPr>
          <w:p>
            <w:pPr>
              <w:pStyle w:val="TableContents"/>
              <w:bidi w:val="0"/>
              <w:spacing w:before="1" w:after="1"/>
              <w:ind w:left="0" w:right="0" w:hanging="0"/>
              <w:jc w:val="left"/>
              <w:rPr/>
            </w:pPr>
            <w:r>
              <w:rPr/>
              <w:t>​</w:t>
            </w:r>
          </w:p>
        </w:tc>
      </w:tr>
      <w:tr>
        <w:trPr/>
        <w:tc>
          <w:tcPr>
            <w:tcW w:w="265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1"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37"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100%</w:t>
            </w:r>
          </w:p>
        </w:tc>
        <w:tc>
          <w:tcPr>
            <w:tcW w:w="116" w:type="dxa"/>
            <w:tcBorders/>
            <w:shd w:fill="CCEEFF" w:val="clear"/>
            <w:vAlign w:val="center"/>
          </w:tcPr>
          <w:p>
            <w:pPr>
              <w:pStyle w:val="TableContents"/>
              <w:bidi w:val="0"/>
              <w:spacing w:before="1"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37"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86"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56" w:type="dxa"/>
            <w:tcBorders/>
            <w:shd w:fill="CCEEFF" w:val="clear"/>
            <w:vAlign w:val="center"/>
          </w:tcPr>
          <w:p>
            <w:pPr>
              <w:pStyle w:val="TableContents"/>
              <w:bidi w:val="0"/>
              <w:spacing w:before="1" w:after="1"/>
              <w:ind w:left="0" w:right="0" w:hanging="0"/>
              <w:jc w:val="left"/>
              <w:rPr/>
            </w:pPr>
            <w:r>
              <w:rPr/>
              <w:t>​</w:t>
            </w:r>
          </w:p>
        </w:tc>
      </w:tr>
    </w:tbl>
    <w:p>
      <w:pPr>
        <w:pStyle w:val="TextBody"/>
        <w:shd w:fill="FFFFFF" w:val="clear"/>
        <w:bidi w:val="0"/>
        <w:spacing w:before="100" w:after="100"/>
        <w:ind w:left="0" w:right="0" w:hanging="0"/>
        <w:jc w:val="both"/>
        <w:rPr/>
      </w:pPr>
      <w:r>
        <w:rPr/>
        <w:t>​</w:t>
      </w:r>
    </w:p>
    <w:tbl>
      <w:tblPr>
        <w:tblW w:w="6891" w:type="dxa"/>
        <w:jc w:val="left"/>
        <w:tblInd w:w="0" w:type="dxa"/>
        <w:tblLayout w:type="fixed"/>
        <w:tblCellMar>
          <w:top w:w="0" w:type="dxa"/>
          <w:left w:w="0" w:type="dxa"/>
          <w:bottom w:w="0" w:type="dxa"/>
          <w:right w:w="0" w:type="dxa"/>
        </w:tblCellMar>
      </w:tblPr>
      <w:tblGrid>
        <w:gridCol w:w="2761"/>
        <w:gridCol w:w="346"/>
        <w:gridCol w:w="211"/>
        <w:gridCol w:w="796"/>
        <w:gridCol w:w="109"/>
        <w:gridCol w:w="211"/>
        <w:gridCol w:w="796"/>
        <w:gridCol w:w="109"/>
        <w:gridCol w:w="211"/>
        <w:gridCol w:w="691"/>
        <w:gridCol w:w="109"/>
        <w:gridCol w:w="54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753235" cy="175895"/>
                      <wp:effectExtent l="0" t="0" r="0" b="0"/>
                      <wp:wrapNone/>
                      <wp:docPr id="319" name="Frame319"/>
                      <a:graphic xmlns:a="http://schemas.openxmlformats.org/drawingml/2006/main">
                        <a:graphicData uri="http://schemas.microsoft.com/office/word/2010/wordprocessingShape">
                          <wps:wsp>
                            <wps:cNvSpPr txBox="1"/>
                            <wps:spPr>
                              <a:xfrm>
                                <a:off x="0" y="0"/>
                                <a:ext cx="1753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895"/>
                      <wp:effectExtent l="0" t="0" r="0" b="0"/>
                      <wp:wrapNone/>
                      <wp:docPr id="320" name="Frame32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895"/>
                      <wp:effectExtent l="0" t="0" r="0" b="0"/>
                      <wp:wrapNone/>
                      <wp:docPr id="321" name="Frame32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05460" cy="175895"/>
                      <wp:effectExtent l="0" t="0" r="0" b="0"/>
                      <wp:wrapNone/>
                      <wp:docPr id="322" name="Frame322"/>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895"/>
                      <wp:effectExtent l="0" t="0" r="0" b="0"/>
                      <wp:wrapNone/>
                      <wp:docPr id="323" name="Frame32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895"/>
                      <wp:effectExtent l="0" t="0" r="0" b="0"/>
                      <wp:wrapNone/>
                      <wp:docPr id="324" name="Frame32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05460" cy="175895"/>
                      <wp:effectExtent l="0" t="0" r="0" b="0"/>
                      <wp:wrapNone/>
                      <wp:docPr id="325" name="Frame325"/>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895"/>
                      <wp:effectExtent l="0" t="0" r="0" b="0"/>
                      <wp:wrapNone/>
                      <wp:docPr id="326" name="Frame32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895"/>
                      <wp:effectExtent l="0" t="0" r="0" b="0"/>
                      <wp:wrapNone/>
                      <wp:docPr id="327" name="Frame32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38785" cy="175895"/>
                      <wp:effectExtent l="0" t="0" r="0" b="0"/>
                      <wp:wrapNone/>
                      <wp:docPr id="328" name="Frame328"/>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895"/>
                      <wp:effectExtent l="0" t="0" r="0" b="0"/>
                      <wp:wrapNone/>
                      <wp:docPr id="329" name="Frame32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43535" cy="175895"/>
                      <wp:effectExtent l="0" t="0" r="0" b="0"/>
                      <wp:wrapNone/>
                      <wp:docPr id="330" name="Frame330"/>
                      <a:graphic xmlns:a="http://schemas.openxmlformats.org/drawingml/2006/main">
                        <a:graphicData uri="http://schemas.microsoft.com/office/word/2010/wordprocessingShape">
                          <wps:wsp>
                            <wps:cNvSpPr txBox="1"/>
                            <wps:spPr>
                              <a:xfrm>
                                <a:off x="0" y="0"/>
                                <a:ext cx="3435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23"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Six Months Ended</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left"/>
              <w:rPr/>
            </w:pPr>
            <w:r>
              <w:rPr/>
              <w:t>​</w:t>
            </w:r>
          </w:p>
        </w:tc>
      </w:tr>
      <w:tr>
        <w:trPr/>
        <w:tc>
          <w:tcPr>
            <w:tcW w:w="27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2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w:t>
            </w:r>
          </w:p>
        </w:tc>
        <w:tc>
          <w:tcPr>
            <w:tcW w:w="109" w:type="dxa"/>
            <w:tcBorders/>
            <w:vAlign w:val="center"/>
          </w:tcPr>
          <w:p>
            <w:pPr>
              <w:pStyle w:val="TableContents"/>
              <w:bidi w:val="0"/>
              <w:spacing w:before="1" w:after="1"/>
              <w:ind w:left="0" w:right="0" w:hanging="0"/>
              <w:jc w:val="center"/>
              <w:rPr/>
            </w:pPr>
            <w:r>
              <w:rPr/>
              <w:t>​</w:t>
            </w:r>
          </w:p>
        </w:tc>
        <w:tc>
          <w:tcPr>
            <w:tcW w:w="1552" w:type="dxa"/>
            <w:gridSpan w:val="4"/>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Change</w:t>
            </w:r>
          </w:p>
        </w:tc>
      </w:tr>
      <w:tr>
        <w:trPr/>
        <w:tc>
          <w:tcPr>
            <w:tcW w:w="2761"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1"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1"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w:t>
            </w:r>
          </w:p>
        </w:tc>
        <w:tc>
          <w:tcPr>
            <w:tcW w:w="109" w:type="dxa"/>
            <w:tcBorders/>
            <w:vAlign w:val="center"/>
          </w:tcPr>
          <w:p>
            <w:pPr>
              <w:pStyle w:val="TableContents"/>
              <w:bidi w:val="0"/>
              <w:spacing w:before="1"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w:t>
            </w:r>
          </w:p>
        </w:tc>
      </w:tr>
      <w:tr>
        <w:trPr/>
        <w:tc>
          <w:tcPr>
            <w:tcW w:w="2761" w:type="dxa"/>
            <w:tcBorders/>
            <w:shd w:fill="CCEEFF" w:val="clear"/>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Revenue</w:t>
            </w:r>
          </w:p>
        </w:tc>
        <w:tc>
          <w:tcPr>
            <w:tcW w:w="346" w:type="dxa"/>
            <w:tcBorders/>
            <w:shd w:fill="CCEEFF" w:val="clear"/>
            <w:vAlign w:val="center"/>
          </w:tcPr>
          <w:p>
            <w:pPr>
              <w:pStyle w:val="TableContents"/>
              <w:bidi w:val="0"/>
              <w:spacing w:before="1" w:after="1"/>
              <w:ind w:left="0" w:right="0" w:hanging="0"/>
              <w:jc w:val="center"/>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796" w:type="dxa"/>
            <w:tcBorders/>
            <w:shd w:fill="CCEEFF" w:val="clear"/>
            <w:vAlign w:val="center"/>
          </w:tcPr>
          <w:p>
            <w:pPr>
              <w:pStyle w:val="TableContents"/>
              <w:bidi w:val="0"/>
              <w:spacing w:before="1" w:after="1"/>
              <w:ind w:left="0" w:right="0" w:hanging="0"/>
              <w:jc w:val="center"/>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796" w:type="dxa"/>
            <w:tcBorders/>
            <w:shd w:fill="CCEEFF" w:val="clear"/>
            <w:vAlign w:val="center"/>
          </w:tcPr>
          <w:p>
            <w:pPr>
              <w:pStyle w:val="TableContents"/>
              <w:bidi w:val="0"/>
              <w:spacing w:before="1" w:after="1"/>
              <w:ind w:left="0" w:right="0" w:hanging="0"/>
              <w:jc w:val="center"/>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691" w:type="dxa"/>
            <w:tcBorders/>
            <w:shd w:fill="CCEEFF" w:val="clear"/>
            <w:vAlign w:val="center"/>
          </w:tcPr>
          <w:p>
            <w:pPr>
              <w:pStyle w:val="TableContents"/>
              <w:bidi w:val="0"/>
              <w:spacing w:before="1" w:after="1"/>
              <w:ind w:left="0" w:right="0" w:hanging="0"/>
              <w:jc w:val="center"/>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41" w:type="dxa"/>
            <w:tcBorders/>
            <w:shd w:fill="CCEEFF" w:val="clear"/>
            <w:vAlign w:val="center"/>
          </w:tcPr>
          <w:p>
            <w:pPr>
              <w:pStyle w:val="TableContents"/>
              <w:bidi w:val="0"/>
              <w:spacing w:before="1" w:after="1"/>
              <w:ind w:left="0" w:right="0" w:hanging="0"/>
              <w:jc w:val="center"/>
              <w:rPr/>
            </w:pPr>
            <w:r>
              <w:rPr/>
              <w:t>​</w:t>
            </w:r>
          </w:p>
        </w:tc>
      </w:tr>
      <w:tr>
        <w:trPr/>
        <w:tc>
          <w:tcPr>
            <w:tcW w:w="276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Lymphedema products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135,851</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116,524</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19,327</w:t>
            </w:r>
          </w:p>
        </w:tc>
        <w:tc>
          <w:tcPr>
            <w:tcW w:w="109"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17%</w:t>
            </w:r>
          </w:p>
        </w:tc>
      </w:tr>
      <w:tr>
        <w:trPr/>
        <w:tc>
          <w:tcPr>
            <w:tcW w:w="276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Airway clearance products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25,114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23,649</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1,465</w:t>
            </w:r>
          </w:p>
        </w:tc>
        <w:tc>
          <w:tcPr>
            <w:tcW w:w="109" w:type="dxa"/>
            <w:tcBorders/>
            <w:shd w:fill="CCEEFF" w:val="clear"/>
            <w:vAlign w:val="center"/>
          </w:tcPr>
          <w:p>
            <w:pPr>
              <w:pStyle w:val="TableContents"/>
              <w:bidi w:val="0"/>
              <w:spacing w:before="1" w:after="1"/>
              <w:ind w:left="0" w:right="0" w:hanging="0"/>
              <w:jc w:val="left"/>
              <w:rPr/>
            </w:pPr>
            <w:r>
              <w:rPr/>
              <w:t>​</w:t>
            </w:r>
          </w:p>
        </w:tc>
        <w:tc>
          <w:tcPr>
            <w:tcW w:w="54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6%</w:t>
            </w:r>
          </w:p>
        </w:tc>
      </w:tr>
      <w:tr>
        <w:trPr/>
        <w:tc>
          <w:tcPr>
            <w:tcW w:w="276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160,965</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140,173</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20,792</w:t>
            </w:r>
          </w:p>
        </w:tc>
        <w:tc>
          <w:tcPr>
            <w:tcW w:w="109"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15%</w:t>
            </w:r>
          </w:p>
        </w:tc>
      </w:tr>
      <w:tr>
        <w:trPr/>
        <w:tc>
          <w:tcPr>
            <w:tcW w:w="276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41" w:type="dxa"/>
            <w:tcBorders/>
            <w:shd w:fill="CCEEFF" w:val="clear"/>
            <w:vAlign w:val="center"/>
          </w:tcPr>
          <w:p>
            <w:pPr>
              <w:pStyle w:val="TableContents"/>
              <w:bidi w:val="0"/>
              <w:spacing w:before="1" w:after="1"/>
              <w:ind w:left="0" w:right="0" w:hanging="0"/>
              <w:jc w:val="right"/>
              <w:rPr/>
            </w:pPr>
            <w:r>
              <w:rPr/>
              <w:t>​</w:t>
            </w:r>
          </w:p>
        </w:tc>
      </w:tr>
      <w:tr>
        <w:trPr/>
        <w:tc>
          <w:tcPr>
            <w:tcW w:w="2761" w:type="dxa"/>
            <w:tcBorders/>
            <w:vAlign w:val="center"/>
          </w:tcPr>
          <w:p>
            <w:pPr>
              <w:pStyle w:val="TableContents"/>
              <w:bidi w:val="0"/>
              <w:spacing w:before="1" w:after="1"/>
              <w:ind w:left="0" w:right="0" w:hanging="0"/>
              <w:jc w:val="left"/>
              <w:rPr>
                <w:rFonts w:ascii="Arial;Helvetica;sans-serif" w:hAnsi="Arial;Helvetica;sans-serif"/>
                <w:b/>
                <w:sz w:val="20"/>
              </w:rPr>
            </w:pPr>
            <w:r>
              <w:rPr>
                <w:rFonts w:ascii="Arial;Helvetica;sans-serif" w:hAnsi="Arial;Helvetica;sans-serif"/>
                <w:b/>
                <w:sz w:val="20"/>
              </w:rPr>
              <w:t>Percentage of total revenues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left"/>
              <w:rPr/>
            </w:pPr>
            <w:r>
              <w:rPr/>
              <w:t>​</w:t>
            </w:r>
          </w:p>
        </w:tc>
      </w:tr>
      <w:tr>
        <w:trPr/>
        <w:tc>
          <w:tcPr>
            <w:tcW w:w="276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Lymphedema products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83%</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41" w:type="dxa"/>
            <w:tcBorders/>
            <w:shd w:fill="CCEEFF" w:val="clear"/>
            <w:vAlign w:val="center"/>
          </w:tcPr>
          <w:p>
            <w:pPr>
              <w:pStyle w:val="TableContents"/>
              <w:bidi w:val="0"/>
              <w:spacing w:before="1" w:after="1"/>
              <w:ind w:left="0" w:right="0" w:hanging="0"/>
              <w:jc w:val="left"/>
              <w:rPr/>
            </w:pPr>
            <w:r>
              <w:rPr/>
              <w:t>​</w:t>
            </w:r>
          </w:p>
        </w:tc>
      </w:tr>
      <w:tr>
        <w:trPr/>
        <w:tc>
          <w:tcPr>
            <w:tcW w:w="276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Airway clearance products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16%</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17%</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left"/>
              <w:rPr/>
            </w:pPr>
            <w:r>
              <w:rPr/>
              <w:t>​</w:t>
            </w:r>
          </w:p>
        </w:tc>
      </w:tr>
      <w:tr>
        <w:trPr/>
        <w:tc>
          <w:tcPr>
            <w:tcW w:w="2761"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100%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41" w:type="dxa"/>
            <w:tcBorders/>
            <w:shd w:fill="CCEEFF" w:val="clear"/>
            <w:vAlign w:val="center"/>
          </w:tcPr>
          <w:p>
            <w:pPr>
              <w:pStyle w:val="TableContents"/>
              <w:bidi w:val="0"/>
              <w:spacing w:before="1" w:after="1"/>
              <w:ind w:left="0" w:right="0" w:hanging="0"/>
              <w:jc w:val="left"/>
              <w:rPr/>
            </w:pPr>
            <w:r>
              <w:rPr/>
              <w:t>​</w:t>
            </w:r>
          </w:p>
        </w:tc>
      </w:tr>
    </w:tbl>
    <w:p>
      <w:pPr>
        <w:pStyle w:val="TextBody"/>
        <w:shd w:fill="FFFFFF" w:val="clear"/>
        <w:bidi w:val="0"/>
        <w:spacing w:before="100" w:after="100"/>
        <w:ind w:left="0" w:right="0" w:hanging="0"/>
        <w:jc w:val="both"/>
        <w:rPr/>
      </w:pPr>
      <w:r>
        <w:rPr/>
        <w:t>​</w:t>
      </w:r>
    </w:p>
    <w:p>
      <w:pPr>
        <w:pStyle w:val="TextBody"/>
        <w:pBdr/>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Our business is affected by seasonality. In the first quarter of each year, when most patients have started a new insurance year and have not yet met their annual out-of-pocket payment obligations, we experience substantially reduced demand for our products. We typically experience higher revenue in the third and fourth quarters of the year when patients have met their annual insurance deductibles, thereby reducing their out-of-pocket costs for our products, and have an increasing desire to exhaust their flexible spending accounts at year end. This seasonality applies only to purchases and rentals of our products by patients covered by commercial insurance and is not relevant to Medicare, Medicaid or the Veterans Administration, as those payers either do not have plans that have declining deductibles over the course of the plan year and/or do not have plans that include patient deductibles for purchases or rentals of our products. </w:t>
      </w:r>
    </w:p>
    <w:p>
      <w:pPr>
        <w:pStyle w:val="TextBody"/>
        <w:pBdr/>
        <w:shd w:fill="FFFFFF" w:val="clear"/>
        <w:bidi w:val="0"/>
        <w:spacing w:before="0" w:after="0"/>
        <w:ind w:left="0" w:right="0" w:hanging="202"/>
        <w:jc w:val="both"/>
        <w:rPr>
          <w:rFonts w:ascii="Arial;Helvetica;sans-serif" w:hAnsi="Arial;Helvetica;sans-serif"/>
          <w:b/>
          <w:i/>
          <w:sz w:val="20"/>
        </w:rPr>
      </w:pPr>
      <w:bookmarkStart w:id="1198" w:name="_530029f8_7070_48c3_bbf5_b452f5d73aa1"/>
      <w:bookmarkEnd w:id="1198"/>
      <w:r>
        <w:rPr>
          <w:rFonts w:ascii="Arial;Helvetica;sans-serif" w:hAnsi="Arial;Helvetica;sans-serif"/>
          <w:b/>
          <w:i/>
          <w:sz w:val="20"/>
        </w:rPr>
        <w:t>Cost of Revenue and Gross Margin</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Cost of revenue increased $0.2 million, or 1%, to $20.3 million in the three months ended June 30, 2026, compared to $20.1 million in the three months ended June 30, 2025. Cost of revenue increased $2.0 million, or 5%, to $38.0 million in the six months ended June 30, 2026, compared to $36.0 million in the six months ended June 30, 2025. The increase in cost of revenue in both periods was primarily attributable to the increase in revenue.</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Gross margin was 76% and 75% in the three months ended June 30, 2026 and 2025, respectively, and 76% and 75% in the six months ended June 30, 2026 and 2025, respectively.</w:t>
      </w:r>
    </w:p>
    <w:p>
      <w:pPr>
        <w:pStyle w:val="TextBody"/>
        <w:pBdr/>
        <w:shd w:fill="FFFFFF" w:val="clear"/>
        <w:bidi w:val="0"/>
        <w:spacing w:before="0" w:after="0"/>
        <w:ind w:left="0" w:right="0" w:hanging="0"/>
        <w:jc w:val="both"/>
        <w:rPr>
          <w:rFonts w:ascii="Arial;Helvetica;sans-serif" w:hAnsi="Arial;Helvetica;sans-serif"/>
          <w:b/>
          <w:i/>
          <w:sz w:val="20"/>
        </w:rPr>
      </w:pPr>
      <w:bookmarkStart w:id="1199" w:name="_3aa03d62_3dab_4d70_826c_262a3d6fdfe0"/>
      <w:bookmarkEnd w:id="1199"/>
      <w:r>
        <w:rPr>
          <w:rFonts w:ascii="Arial;Helvetica;sans-serif" w:hAnsi="Arial;Helvetica;sans-serif"/>
          <w:b/>
          <w:i/>
          <w:sz w:val="20"/>
        </w:rPr>
        <w:t>Sales and Marketing Expenses</w:t>
      </w:r>
    </w:p>
    <w:p>
      <w:pPr>
        <w:pStyle w:val="TextBody"/>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Sales and marketing expenses increased $2.0 million, or 7%, to $32.0 million in the three months ended June 30, 2026, compared to $30.0 million in the three months ended June 30, 2025. The increase was primarily attributable to a $2.9 million increase in personnel-related compensation expenses (including travel and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entertainment expenses) and a $0.2 million increase in expenses for professional services, partially offset by a $1.4 million decrease in expenses related to meetings and seminars.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Sales and marketing expenses increased $7.2 million, or 12%, to $64.7 million in the six months ended June 30, 2026, compared to $57.6 million in the six months ended June 30, 2025. The increase was primarily attributable to a $6.8 million increase in personnel-related compensation expenses, a $0.2 million increase in expenses for demo units and a $0.1 million increase in educational grants.</w:t>
      </w:r>
    </w:p>
    <w:p>
      <w:pPr>
        <w:pStyle w:val="TextBody"/>
        <w:shd w:fill="FFFFFF" w:val="clear"/>
        <w:bidi w:val="0"/>
        <w:spacing w:before="0" w:after="240"/>
        <w:ind w:left="0" w:right="0" w:hanging="0"/>
        <w:jc w:val="both"/>
        <w:rPr>
          <w:rFonts w:ascii="Arial;Helvetica;sans-serif" w:hAnsi="Arial;Helvetica;sans-serif"/>
          <w:b/>
          <w:i/>
          <w:sz w:val="20"/>
        </w:rPr>
      </w:pPr>
      <w:bookmarkStart w:id="1200" w:name="_d93bc467_12d0_4ee5_9820_58531b57c5a8"/>
      <w:bookmarkEnd w:id="1200"/>
      <w:r>
        <w:rPr>
          <w:rFonts w:ascii="Arial;Helvetica;sans-serif" w:hAnsi="Arial;Helvetica;sans-serif"/>
          <w:b/>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Research and development (“R&amp;D”) expenses increased $0.5 million, or 24%, to $2.5 million in the three months ended June 30, 2026, compared to $2.0 million in the three months ended June 30, 2025. The increase was primarily attributable to a $0.2 million increase in IT-related expenses and a $0.2 million increase in personnel-related compensation expenses.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R&amp;D expenses increased $1.5 million, or 40%, to $5.3 million in the six months ended June 30, 2026, compared to $3.8 million in the six months ended June 30, 2025. The increase was primarily attributable to a $0.8 million increase in personnel-related compensation expenses and $0.6 million increase in IT and other professional fees related expenses.</w:t>
      </w:r>
      <w:r>
        <w:rPr>
          <w:rFonts w:ascii="Times New Roman;Times;serif" w:hAnsi="Times New Roman;Times;serif"/>
          <w:sz w:val="20"/>
        </w:rPr>
        <w:t xml:space="preserve"> </w:t>
      </w:r>
    </w:p>
    <w:p>
      <w:pPr>
        <w:pStyle w:val="TextBody"/>
        <w:pBdr/>
        <w:bidi w:val="0"/>
        <w:spacing w:before="0" w:after="0"/>
        <w:ind w:left="0" w:right="0" w:firstLine="720"/>
        <w:jc w:val="both"/>
        <w:rPr>
          <w:rFonts w:ascii="Arial;Helvetica;sans-serif" w:hAnsi="Arial;Helvetica;sans-serif"/>
          <w:sz w:val="20"/>
        </w:rPr>
      </w:pPr>
      <w:r>
        <w:rPr>
          <w:rFonts w:ascii="Arial;Helvetica;sans-serif" w:hAnsi="Arial;Helvetica;sans-serif"/>
          <w:sz w:val="20"/>
        </w:rPr>
        <w:t>IT-related expenses reflected in both R&amp;D expenses and Reimbursement, general and administrative expenses in both periods primarily related to the ongoing implementation of new technology across the entire order process, replacing legacy systems, which we expect to continue through the remainder of 2026.</w:t>
      </w:r>
    </w:p>
    <w:p>
      <w:pPr>
        <w:pStyle w:val="TextBody"/>
        <w:pBdr/>
        <w:shd w:fill="FFFFFF" w:val="clear"/>
        <w:bidi w:val="0"/>
        <w:spacing w:before="0" w:after="0"/>
        <w:ind w:left="0" w:right="0" w:hanging="0"/>
        <w:jc w:val="both"/>
        <w:rPr>
          <w:rFonts w:ascii="Arial;Helvetica;sans-serif" w:hAnsi="Arial;Helvetica;sans-serif"/>
          <w:b/>
          <w:i/>
          <w:sz w:val="20"/>
        </w:rPr>
      </w:pPr>
      <w:bookmarkStart w:id="1201" w:name="_2541cf39_3d92_4a41_aefe_374f862baaf4"/>
      <w:bookmarkEnd w:id="1201"/>
      <w:r>
        <w:rPr>
          <w:rFonts w:ascii="Arial;Helvetica;sans-serif" w:hAnsi="Arial;Helvetica;sans-serif"/>
          <w:b/>
          <w:i/>
          <w:sz w:val="20"/>
        </w:rPr>
        <w:t>Reimbursement, General and Administrative Expenses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Reimbursement, general and administrative expenses increased $1.3 million, or 6%, to $23.4 million in the three months ended June 30, 2026, compared to $22.0 million in the three months ended June 30, 2025. This increase was primarily attributable to a $2.2 million increase in personnel-related compensation expenses, a $0.3 million increase in IT-related expenses and a $0.2 million increase in acquisition and integration costs related to the LymphaTech acquisition, partially offset by a $1.6 million decrease in occupancy costs.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Reimbursement, general and administrative expenses increased $4.4 million, or 10%, to $46.4 million in the six months ended June 30, 2026, compared to $42.0 million in the six months ended June 30, 2025. This increase was primarily attributable to a $3.3 million increase in personnel-related compensation expenses, a $1.0 million increase in acquisition and integration costs related to the LymphaTech acquisition and a $0.7 million increase in IT-related expenses, partially offset by a $0.7 million decrease in occupancy costs, depreciation expense and professional fees.</w:t>
      </w:r>
    </w:p>
    <w:p>
      <w:pPr>
        <w:pStyle w:val="TextBody"/>
        <w:pBdr/>
        <w:shd w:fill="FFFFFF" w:val="clear"/>
        <w:bidi w:val="0"/>
        <w:spacing w:before="0" w:after="0"/>
        <w:ind w:left="0" w:right="0" w:hanging="0"/>
        <w:jc w:val="both"/>
        <w:rPr>
          <w:rFonts w:ascii="Arial;Helvetica;sans-serif" w:hAnsi="Arial;Helvetica;sans-serif"/>
          <w:b/>
          <w:i/>
          <w:sz w:val="20"/>
        </w:rPr>
      </w:pPr>
      <w:bookmarkStart w:id="1202" w:name="_7fec9f3b_54e1_41a1_a9f5_0b7d5e261a7c"/>
      <w:bookmarkEnd w:id="1202"/>
      <w:r>
        <w:rPr>
          <w:rFonts w:ascii="Arial;Helvetica;sans-serif" w:hAnsi="Arial;Helvetica;sans-serif"/>
          <w:b/>
          <w:i/>
          <w:sz w:val="20"/>
        </w:rPr>
        <w:t>Intangible Asset Amortization</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Intangible asset amortization was $0.7 and $0.6 million for the three months ended June 30, 2026 and 2025, respectively.</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Intangible asset amortization was $1.2 and $1.3 million for the six months ended June 30, 2026 and 2025, respectively.</w:t>
      </w:r>
    </w:p>
    <w:p>
      <w:pPr>
        <w:pStyle w:val="TextBody"/>
        <w:pBdr/>
        <w:shd w:fill="FFFFFF" w:val="clear"/>
        <w:bidi w:val="0"/>
        <w:spacing w:before="0" w:after="0"/>
        <w:ind w:left="0" w:right="0" w:hanging="0"/>
        <w:jc w:val="both"/>
        <w:rPr>
          <w:rFonts w:ascii="Arial;Helvetica;sans-serif" w:hAnsi="Arial;Helvetica;sans-serif"/>
          <w:b/>
          <w:i/>
          <w:sz w:val="20"/>
        </w:rPr>
      </w:pPr>
      <w:bookmarkStart w:id="1203" w:name="_270f49a5_b389_4210_8f3a_e19331ee7af3"/>
      <w:bookmarkEnd w:id="1203"/>
      <w:r>
        <w:rPr>
          <w:rFonts w:ascii="Arial;Helvetica;sans-serif" w:hAnsi="Arial;Helvetica;sans-serif"/>
          <w:b/>
          <w:i/>
          <w:sz w:val="20"/>
        </w:rPr>
        <w:t>Interest Income and Interest Expense</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Interest income decreased $0.3 million, or 34%, to $0.6 million in the three months ended June 30, 2026, compared to $0.9 million in the three months ended June 30, 2025, primarily due to a lower cash balance in an Institutional Insured Liquid Deposit demand account due to funds being utilized for the LymphaTech acquisition. Interest expense decreased $0.4 million, or 95%, to $19,000 in the three months ended June 30, 2026, compared to $0.4 million in the three months ended June 30, 2025, primarily due to the repayment of debt.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Interest income decreased $0.5 million, or 30%, to $1.2 million in the six months ended June 30, 2026, compared to $1.7 million in the six months ended June 30, 2025, primarily due to a lower cash balance in an Institutional Insured Liquid Deposit demand account due to funds being utilized for the LymphaTech acquisition. Interest expense decreased $0.8 million, or 94%, to $47,000 in the six months ended June 30, 2026, compared to $0.8 million in the six months ended June 30, 2025, primarily due to the repayment of debt.</w:t>
      </w:r>
    </w:p>
    <w:p>
      <w:pPr>
        <w:pStyle w:val="TextBody"/>
        <w:pBdr/>
        <w:shd w:fill="FFFFFF" w:val="clear"/>
        <w:bidi w:val="0"/>
        <w:spacing w:before="0" w:after="0"/>
        <w:ind w:left="0" w:right="0" w:hanging="0"/>
        <w:jc w:val="both"/>
        <w:rPr>
          <w:rFonts w:ascii="Arial;Helvetica;sans-serif" w:hAnsi="Arial;Helvetica;sans-serif"/>
          <w:b/>
          <w:i/>
          <w:sz w:val="20"/>
        </w:rPr>
      </w:pPr>
      <w:bookmarkStart w:id="1204" w:name="_c7ae7576_223e_4d79_a436_aa3ecdd8b558"/>
      <w:bookmarkEnd w:id="1204"/>
      <w:r>
        <w:rPr>
          <w:rFonts w:ascii="Arial;Helvetica;sans-serif" w:hAnsi="Arial;Helvetica;sans-serif"/>
          <w:b/>
          <w:i/>
          <w:sz w:val="20"/>
        </w:rPr>
        <w:t>Income Taxes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We recorded an income tax benefit of $0.4 million and an income tax expense of $1.3 million for the three months ended June 30, 2026 and 2025, respectively. The primary driver of the change in our effective tax rate was attributable to the Company recording stock-based compensation discrete items when compared to the prior year period.</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We recorded an income tax expense of $0.5 million and an income tax expense of $0.2 million for the six months ended June 30, 2026 and 2025, respectively. The primary driver of the change in our effective tax rate was attributable to the Company recording stock-based compensation discrete items when compared to the prior year period.</w:t>
      </w:r>
    </w:p>
    <w:p>
      <w:pPr>
        <w:pStyle w:val="TextBody"/>
        <w:shd w:fill="FFFFFF" w:val="clear"/>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shd w:fill="FFFFFF" w:val="clear"/>
        <w:bidi w:val="0"/>
        <w:spacing w:before="0" w:after="240"/>
        <w:ind w:left="0" w:right="0" w:hanging="0"/>
        <w:jc w:val="both"/>
        <w:rPr>
          <w:rFonts w:ascii="Arial;Helvetica;sans-serif" w:hAnsi="Arial;Helvetica;sans-serif"/>
          <w:b/>
          <w:sz w:val="20"/>
        </w:rPr>
      </w:pPr>
      <w:bookmarkStart w:id="1205" w:name="_8fe2138b_7d6e_4e6a_a53b_50985cff9c2b"/>
      <w:bookmarkEnd w:id="1205"/>
      <w:r>
        <w:rPr>
          <w:rFonts w:ascii="Arial;Helvetica;sans-serif" w:hAnsi="Arial;Helvetica;sans-serif"/>
          <w:b/>
          <w:sz w:val="20"/>
        </w:rPr>
        <w:t>Liquidity and Capital Resources</w:t>
      </w:r>
    </w:p>
    <w:p>
      <w:pPr>
        <w:pStyle w:val="TextBody"/>
        <w:pBdr/>
        <w:bidi w:val="0"/>
        <w:spacing w:before="0" w:after="0"/>
        <w:ind w:left="0" w:right="0" w:hanging="0"/>
        <w:jc w:val="both"/>
        <w:rPr>
          <w:rFonts w:ascii="Arial;Helvetica;sans-serif" w:hAnsi="Arial;Helvetica;sans-serif"/>
          <w:b/>
          <w:i/>
          <w:sz w:val="20"/>
        </w:rPr>
      </w:pPr>
      <w:bookmarkStart w:id="1206" w:name="_faab0b22_5554_472f_9cef_3f51db583c27"/>
      <w:bookmarkEnd w:id="1206"/>
      <w:r>
        <w:rPr>
          <w:rFonts w:ascii="Arial;Helvetica;sans-serif" w:hAnsi="Arial;Helvetica;sans-serif"/>
          <w:b/>
          <w:i/>
          <w:sz w:val="20"/>
        </w:rPr>
        <w:t>Cash Flows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On June 30, 2026, we had cash of $69.9 million and net accounts receivable of $43.1</w:t>
      </w:r>
      <w:r>
        <w:rPr>
          <w:rFonts w:ascii="Times New Roman;Times;serif" w:hAnsi="Times New Roman;Times;serif"/>
          <w:sz w:val="20"/>
        </w:rPr>
        <w:t> </w:t>
      </w:r>
      <w:r>
        <w:rPr>
          <w:rFonts w:ascii="Arial;Helvetica;sans-serif" w:hAnsi="Arial;Helvetica;sans-serif"/>
          <w:sz w:val="20"/>
        </w:rPr>
        <w:t>million. This compares to cash of $81.5 million and net accounts receivable of $33.1 million at June 30, 2025.  </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The following table summarizes our cash flows for the periods indicated:</w:t>
      </w:r>
    </w:p>
    <w:tbl>
      <w:tblPr>
        <w:tblW w:w="5617" w:type="dxa"/>
        <w:jc w:val="left"/>
        <w:tblInd w:w="0" w:type="dxa"/>
        <w:tblLayout w:type="fixed"/>
        <w:tblCellMar>
          <w:top w:w="0" w:type="dxa"/>
          <w:left w:w="0" w:type="dxa"/>
          <w:bottom w:w="0" w:type="dxa"/>
          <w:right w:w="0" w:type="dxa"/>
        </w:tblCellMar>
      </w:tblPr>
      <w:tblGrid>
        <w:gridCol w:w="2836"/>
        <w:gridCol w:w="346"/>
        <w:gridCol w:w="211"/>
        <w:gridCol w:w="811"/>
        <w:gridCol w:w="346"/>
        <w:gridCol w:w="211"/>
        <w:gridCol w:w="85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800860" cy="175895"/>
                      <wp:effectExtent l="0" t="0" r="0" b="0"/>
                      <wp:wrapNone/>
                      <wp:docPr id="331" name="Frame331"/>
                      <a:graphic xmlns:a="http://schemas.openxmlformats.org/drawingml/2006/main">
                        <a:graphicData uri="http://schemas.microsoft.com/office/word/2010/wordprocessingShape">
                          <wps:wsp>
                            <wps:cNvSpPr txBox="1"/>
                            <wps:spPr>
                              <a:xfrm>
                                <a:off x="0" y="0"/>
                                <a:ext cx="1800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895"/>
                      <wp:effectExtent l="0" t="0" r="0" b="0"/>
                      <wp:wrapNone/>
                      <wp:docPr id="332" name="Frame33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895"/>
                      <wp:effectExtent l="0" t="0" r="0" b="0"/>
                      <wp:wrapNone/>
                      <wp:docPr id="333" name="Frame33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14985" cy="175895"/>
                      <wp:effectExtent l="0" t="0" r="0" b="0"/>
                      <wp:wrapNone/>
                      <wp:docPr id="334" name="Frame334"/>
                      <a:graphic xmlns:a="http://schemas.openxmlformats.org/drawingml/2006/main">
                        <a:graphicData uri="http://schemas.microsoft.com/office/word/2010/wordprocessingShape">
                          <wps:wsp>
                            <wps:cNvSpPr txBox="1"/>
                            <wps:spPr>
                              <a:xfrm>
                                <a:off x="0" y="0"/>
                                <a:ext cx="514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895"/>
                      <wp:effectExtent l="0" t="0" r="0" b="0"/>
                      <wp:wrapNone/>
                      <wp:docPr id="335" name="Frame33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895"/>
                      <wp:effectExtent l="0" t="0" r="0" b="0"/>
                      <wp:wrapNone/>
                      <wp:docPr id="336" name="Frame33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43560" cy="175895"/>
                      <wp:effectExtent l="0" t="0" r="0" b="0"/>
                      <wp:wrapNone/>
                      <wp:docPr id="337" name="Frame337"/>
                      <a:graphic xmlns:a="http://schemas.openxmlformats.org/drawingml/2006/main">
                        <a:graphicData uri="http://schemas.microsoft.com/office/word/2010/wordprocessingShape">
                          <wps:wsp>
                            <wps:cNvSpPr txBox="1"/>
                            <wps:spPr>
                              <a:xfrm>
                                <a:off x="0" y="0"/>
                                <a:ext cx="543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435" w:type="dxa"/>
            <w:gridSpan w:val="5"/>
            <w:tcBorders/>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Six Months Ended</w:t>
            </w:r>
          </w:p>
        </w:tc>
      </w:tr>
      <w:tr>
        <w:trPr/>
        <w:tc>
          <w:tcPr>
            <w:tcW w:w="283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June 30,</w:t>
            </w:r>
          </w:p>
        </w:tc>
      </w:tr>
      <w:tr>
        <w:trPr/>
        <w:tc>
          <w:tcPr>
            <w:tcW w:w="2836" w:type="dxa"/>
            <w:tcBorders>
              <w:bottom w:val="single" w:sz="2" w:space="0" w:color="000000"/>
            </w:tcBorders>
            <w:tcMar>
              <w:bottom w:w="28" w:type="dxa"/>
            </w:tcMar>
            <w:vAlign w:val="center"/>
          </w:tcPr>
          <w:p>
            <w:pPr>
              <w:pStyle w:val="TableContents"/>
              <w:bidi w:val="0"/>
              <w:spacing w:before="1" w:after="1"/>
              <w:ind w:left="0" w:right="0" w:hanging="0"/>
              <w:jc w:val="left"/>
              <w:rPr>
                <w:rFonts w:ascii="Arial;Helvetica;sans-serif" w:hAnsi="Arial;Helvetica;sans-serif"/>
                <w:sz w:val="16"/>
              </w:rPr>
            </w:pPr>
            <w:r>
              <w:rPr>
                <w:rFonts w:ascii="Arial;Helvetica;sans-serif" w:hAnsi="Arial;Helvetica;sans-serif"/>
                <w:sz w:val="16"/>
              </w:rPr>
              <w:t>(In thousands)</w:t>
            </w:r>
          </w:p>
        </w:tc>
        <w:tc>
          <w:tcPr>
            <w:tcW w:w="346" w:type="dxa"/>
            <w:tcBorders/>
            <w:vAlign w:val="center"/>
          </w:tcPr>
          <w:p>
            <w:pPr>
              <w:pStyle w:val="TableContents"/>
              <w:bidi w:val="0"/>
              <w:spacing w:before="1"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1" w:after="1"/>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83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Net cash provided by (used in):</w:t>
            </w:r>
          </w:p>
        </w:tc>
        <w:tc>
          <w:tcPr>
            <w:tcW w:w="346" w:type="dxa"/>
            <w:tcBorders/>
            <w:shd w:fill="CCEEFF" w:val="clear"/>
            <w:vAlign w:val="center"/>
          </w:tcPr>
          <w:p>
            <w:pPr>
              <w:pStyle w:val="TableContents"/>
              <w:bidi w:val="0"/>
              <w:spacing w:before="1" w:after="1"/>
              <w:ind w:left="0" w:right="0" w:hanging="0"/>
              <w:jc w:val="center"/>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811" w:type="dxa"/>
            <w:tcBorders/>
            <w:shd w:fill="CCEEFF" w:val="clear"/>
            <w:vAlign w:val="center"/>
          </w:tcPr>
          <w:p>
            <w:pPr>
              <w:pStyle w:val="TableContents"/>
              <w:bidi w:val="0"/>
              <w:spacing w:before="1" w:after="1"/>
              <w:ind w:left="0" w:right="0" w:hanging="0"/>
              <w:jc w:val="center"/>
              <w:rPr/>
            </w:pPr>
            <w:r>
              <w:rPr/>
              <w:t>​</w:t>
            </w:r>
          </w:p>
        </w:tc>
        <w:tc>
          <w:tcPr>
            <w:tcW w:w="346" w:type="dxa"/>
            <w:tcBorders/>
            <w:shd w:fill="CCEEFF" w:val="clear"/>
            <w:vAlign w:val="center"/>
          </w:tcPr>
          <w:p>
            <w:pPr>
              <w:pStyle w:val="TableContents"/>
              <w:bidi w:val="0"/>
              <w:spacing w:before="1" w:after="1"/>
              <w:ind w:left="0" w:right="0" w:hanging="0"/>
              <w:jc w:val="center"/>
              <w:rPr/>
            </w:pPr>
            <w:r>
              <w:rPr/>
              <w:t>​</w:t>
            </w:r>
          </w:p>
        </w:tc>
        <w:tc>
          <w:tcPr>
            <w:tcW w:w="211" w:type="dxa"/>
            <w:tcBorders/>
            <w:shd w:fill="CCEEFF" w:val="clear"/>
            <w:vAlign w:val="center"/>
          </w:tcPr>
          <w:p>
            <w:pPr>
              <w:pStyle w:val="TableContents"/>
              <w:bidi w:val="0"/>
              <w:spacing w:before="1" w:after="1"/>
              <w:ind w:left="0" w:right="0" w:hanging="0"/>
              <w:jc w:val="center"/>
              <w:rPr/>
            </w:pPr>
            <w:r>
              <w:rPr/>
              <w:t>​</w:t>
            </w:r>
          </w:p>
        </w:tc>
        <w:tc>
          <w:tcPr>
            <w:tcW w:w="856" w:type="dxa"/>
            <w:tcBorders/>
            <w:shd w:fill="CCEEFF" w:val="clear"/>
            <w:vAlign w:val="center"/>
          </w:tcPr>
          <w:p>
            <w:pPr>
              <w:pStyle w:val="TableContents"/>
              <w:bidi w:val="0"/>
              <w:spacing w:before="1" w:after="1"/>
              <w:ind w:left="0" w:right="0" w:hanging="0"/>
              <w:jc w:val="center"/>
              <w:rPr/>
            </w:pPr>
            <w:r>
              <w:rPr/>
              <w:t>​</w:t>
            </w:r>
          </w:p>
        </w:tc>
      </w:tr>
      <w:tr>
        <w:trPr/>
        <w:tc>
          <w:tcPr>
            <w:tcW w:w="283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2,915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15,174</w:t>
            </w:r>
          </w:p>
        </w:tc>
      </w:tr>
      <w:tr>
        <w:trPr/>
        <w:tc>
          <w:tcPr>
            <w:tcW w:w="283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11"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(11,380)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56" w:type="dxa"/>
            <w:tcBorders/>
            <w:shd w:fill="CCEEFF" w:val="cle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(804)</w:t>
            </w:r>
          </w:p>
        </w:tc>
      </w:tr>
      <w:tr>
        <w:trPr/>
        <w:tc>
          <w:tcPr>
            <w:tcW w:w="2836" w:type="dxa"/>
            <w:tcBorders/>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(5,128)</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(27,209)</w:t>
            </w:r>
          </w:p>
        </w:tc>
      </w:tr>
      <w:tr>
        <w:trPr/>
        <w:tc>
          <w:tcPr>
            <w:tcW w:w="2836" w:type="dxa"/>
            <w:tcBorders/>
            <w:shd w:fill="CCEEFF" w:val="cle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Net decrease in cash</w:t>
            </w:r>
          </w:p>
        </w:tc>
        <w:tc>
          <w:tcPr>
            <w:tcW w:w="346" w:type="dxa"/>
            <w:tcBorders/>
            <w:shd w:fill="CCEEFF" w:val="clear"/>
            <w:vAlign w:val="center"/>
          </w:tcPr>
          <w:p>
            <w:pPr>
              <w:pStyle w:val="TableContents"/>
              <w:bidi w:val="0"/>
              <w:spacing w:before="1"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(13,593)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Arial;Helvetica;sans-serif" w:hAnsi="Arial;Helvetica;sans-serif"/>
                <w:sz w:val="20"/>
              </w:rPr>
            </w:pPr>
            <w:r>
              <w:rPr>
                <w:rFonts w:ascii="Arial;Helvetica;sans-serif" w:hAnsi="Arial;Helvetica;sans-serif"/>
                <w:sz w:val="20"/>
              </w:rPr>
              <w:t>(12,839)</w:t>
            </w:r>
          </w:p>
        </w:tc>
      </w:tr>
    </w:tbl>
    <w:p>
      <w:pPr>
        <w:pStyle w:val="TextBody"/>
        <w:shd w:fill="FFFFFF" w:val="clear"/>
        <w:bidi w:val="0"/>
        <w:spacing w:before="100" w:after="100"/>
        <w:ind w:left="0" w:right="0" w:hanging="0"/>
        <w:jc w:val="left"/>
        <w:rPr/>
      </w:pPr>
      <w:r>
        <w:rPr/>
        <w:t>​</w:t>
      </w:r>
    </w:p>
    <w:p>
      <w:pPr>
        <w:pStyle w:val="TextBody"/>
        <w:shd w:fill="FFFFFF" w:val="clear"/>
        <w:bidi w:val="0"/>
        <w:spacing w:before="100" w:after="100"/>
        <w:ind w:left="0" w:right="0" w:hanging="0"/>
        <w:jc w:val="left"/>
        <w:rPr/>
      </w:pPr>
      <w:r>
        <w:rPr/>
        <w:t>​</w:t>
      </w:r>
    </w:p>
    <w:p>
      <w:pPr>
        <w:pStyle w:val="TextBody"/>
        <w:shd w:fill="FFFFFF" w:val="clear"/>
        <w:bidi w:val="0"/>
        <w:spacing w:before="0" w:after="240"/>
        <w:ind w:left="0" w:right="0" w:hanging="0"/>
        <w:jc w:val="both"/>
        <w:rPr>
          <w:rFonts w:ascii="Arial;Helvetica;sans-serif" w:hAnsi="Arial;Helvetica;sans-serif"/>
          <w:b/>
          <w:i/>
          <w:sz w:val="20"/>
        </w:rPr>
      </w:pPr>
      <w:bookmarkStart w:id="1207" w:name="_9562bf9b_9357_4efa_bc06_5ea8efbdd25c"/>
      <w:bookmarkEnd w:id="1207"/>
      <w:r>
        <w:rPr>
          <w:rFonts w:ascii="Arial;Helvetica;sans-serif" w:hAnsi="Arial;Helvetica;sans-serif"/>
          <w:b/>
          <w:i/>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Arial;Helvetica;sans-serif" w:hAnsi="Arial;Helvetica;sans-serif"/>
          <w:sz w:val="20"/>
        </w:rPr>
        <w:t xml:space="preserve">Net cash provided in operating activities during the six months ended June 30, 2026 was $2.9 million, resulting from non-cash net income adjustments of $7.6 million, net income of $6.0 million and a net decrease in operating assets and liabilities of $10.7 million. The positive non-cash net income adjustments consisted primarily of $4.0 million of stock-based compensation expense, $3.5 million of depreciation and amortization, and a loss on disposal of property and equipment and intangibles of $0.1 million. Cash provided relating to the change in operating assets and liabilities primarily consisted of an increase in prepaid expenses and other assets of $5.2 million, </w:t>
      </w:r>
      <w:r>
        <w:rPr>
          <w:rFonts w:ascii="Arial;Helvetica;sans-serif" w:hAnsi="Arial;Helvetica;sans-serif"/>
          <w:color w:val="212529"/>
          <w:sz w:val="20"/>
          <w:shd w:fill="FFFFFF" w:val="clear"/>
        </w:rPr>
        <w:t xml:space="preserve">a decrease in accrued payroll and related taxes of $3.8 million, </w:t>
      </w:r>
      <w:r>
        <w:rPr>
          <w:rFonts w:ascii="Arial;Helvetica;sans-serif" w:hAnsi="Arial;Helvetica;sans-serif"/>
          <w:sz w:val="20"/>
        </w:rPr>
        <w:t xml:space="preserve">an increase in inventories of $2.8 million, a $2.2 million decrease in income taxes payable, </w:t>
      </w:r>
      <w:r>
        <w:rPr>
          <w:rFonts w:ascii="Arial;Helvetica;sans-serif" w:hAnsi="Arial;Helvetica;sans-serif"/>
          <w:color w:val="212529"/>
          <w:sz w:val="20"/>
          <w:shd w:fill="FFFFFF" w:val="clear"/>
        </w:rPr>
        <w:t>a $0.8 million decrease in accrued expenses and other liabilities</w:t>
      </w:r>
      <w:r>
        <w:rPr>
          <w:rFonts w:ascii="Times New Roman;Times;serif" w:hAnsi="Times New Roman;Times;serif"/>
          <w:sz w:val="20"/>
        </w:rPr>
        <w:t xml:space="preserve"> </w:t>
      </w:r>
      <w:r>
        <w:rPr>
          <w:rFonts w:ascii="Arial;Helvetica;sans-serif" w:hAnsi="Arial;Helvetica;sans-serif"/>
          <w:sz w:val="20"/>
        </w:rPr>
        <w:t xml:space="preserve">and an increase in right of use operating lease assets of $0.4 million, partially offset by </w:t>
      </w:r>
      <w:r>
        <w:rPr>
          <w:rFonts w:ascii="Arial;Helvetica;sans-serif" w:hAnsi="Arial;Helvetica;sans-serif"/>
          <w:color w:val="212529"/>
          <w:sz w:val="20"/>
          <w:shd w:fill="FFFFFF" w:val="clear"/>
        </w:rPr>
        <w:t>a $2.9 million increase in accounts payable</w:t>
      </w:r>
      <w:r>
        <w:rPr>
          <w:rFonts w:ascii="Arial;Helvetica;sans-serif" w:hAnsi="Arial;Helvetica;sans-serif"/>
          <w:sz w:val="20"/>
        </w:rPr>
        <w:t>, a decrease of $0.8 million in net investment in leases and a decrease in net accounts receivable of $0.8 million.</w:t>
      </w:r>
    </w:p>
    <w:p>
      <w:pPr>
        <w:pStyle w:val="TextBody"/>
        <w:pBdr/>
        <w:bidi w:val="0"/>
        <w:spacing w:before="0" w:after="0"/>
        <w:ind w:left="0" w:right="0" w:firstLine="720"/>
        <w:jc w:val="both"/>
        <w:rPr>
          <w:rFonts w:ascii="Arial;Helvetica;sans-serif" w:hAnsi="Arial;Helvetica;sans-serif"/>
          <w:color w:val="212529"/>
          <w:sz w:val="20"/>
          <w:shd w:fill="FFFFFF" w:val="clear"/>
        </w:rPr>
      </w:pPr>
      <w:r>
        <w:rPr>
          <w:rFonts w:ascii="Arial;Helvetica;sans-serif" w:hAnsi="Arial;Helvetica;sans-serif"/>
          <w:color w:val="212529"/>
          <w:sz w:val="20"/>
          <w:shd w:fill="FFFFFF" w:val="clear"/>
        </w:rPr>
        <w:t>Net cash provided by operating activities during the six months ended June 30, 2025 was $15.2 million, resulting from a net increase in operating assets and liabilities of $7.5 million, non-cash net income adjustments of $7.4 million, and net income of $0.2 million. Cash provided relating to the change in operating assets and liabilities primarily consisted of a decrease in net accounts receivable of $11.9 million, a $2.6 million increase in accrued expenses and other liabilities, a $2.3 million increase in accounts payable, a decrease in inventories of $1.5 million, and a decrease in net investment in leases of $0.1 million, partially offset by a decrease in accrued payroll and related taxes of $5.2 million, an increase in prepaid expenses and other assets of $4.7 million, a decrease in income taxes payable of $0.6 million and an increase in right of use operating lease assets of $0.3 million. The positive non-cash net income adjustments consisted primarily of $4.0 million of stock-based compensation expense, $3.4 million of depreciation and amortization, and $0.1 million of loss on disposals.</w:t>
      </w:r>
    </w:p>
    <w:p>
      <w:pPr>
        <w:pStyle w:val="TextBody"/>
        <w:pBdr/>
        <w:shd w:fill="FFFFFF" w:val="clear"/>
        <w:bidi w:val="0"/>
        <w:spacing w:before="0" w:after="0"/>
        <w:ind w:left="0" w:right="0" w:hanging="0"/>
        <w:jc w:val="both"/>
        <w:rPr>
          <w:rFonts w:ascii="Arial;Helvetica;sans-serif" w:hAnsi="Arial;Helvetica;sans-serif"/>
          <w:b/>
          <w:i/>
          <w:sz w:val="20"/>
        </w:rPr>
      </w:pPr>
      <w:bookmarkStart w:id="1208" w:name="_f5f19064_909d_4fe0_bd45_8ea4e580970e"/>
      <w:bookmarkEnd w:id="1208"/>
      <w:r>
        <w:rPr>
          <w:rFonts w:ascii="Arial;Helvetica;sans-serif" w:hAnsi="Arial;Helvetica;sans-serif"/>
          <w:b/>
          <w:i/>
          <w:sz w:val="20"/>
        </w:rPr>
        <w:t>Investing Activities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Net cash used in investing activities during the six months ended June 30, 2026, was $11.4 million, primarily consisting of $6.2 million of net payments related to the acquisition of LymphaTech, a $3.0 million payment for the exclusive distribution agreement for MyoSleeve, $2.1 million of purchases of property and equipment and $0.1 million of patent costs.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Net cash used in investing activities during the six months ended June 30, 2025, was $0.8 million, consisting of purchases of property and equipment and patent costs.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b/>
          <w:i/>
          <w:sz w:val="20"/>
        </w:rPr>
      </w:pPr>
      <w:bookmarkStart w:id="1209" w:name="_73beccb2_f82c_42c4_aab4_1b2a376c7b6d"/>
      <w:bookmarkEnd w:id="1209"/>
      <w:r>
        <w:rPr>
          <w:rFonts w:ascii="Arial;Helvetica;sans-serif" w:hAnsi="Arial;Helvetica;sans-serif"/>
          <w:b/>
          <w:i/>
          <w:sz w:val="20"/>
        </w:rPr>
        <w:t>Financing Activities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Net cash used in financing activities during the six months ended June 30, 2026, was $5.1 million, primarily consisting of payments of $6.4 million for the repurchase of our common stock,</w:t>
      </w:r>
      <w:r>
        <w:rPr>
          <w:rFonts w:ascii="Times New Roman;Times;serif" w:hAnsi="Times New Roman;Times;serif"/>
          <w:sz w:val="20"/>
        </w:rPr>
        <w:t xml:space="preserve"> </w:t>
      </w:r>
      <w:r>
        <w:rPr>
          <w:rFonts w:ascii="Arial;Helvetica;sans-serif" w:hAnsi="Arial;Helvetica;sans-serif"/>
          <w:sz w:val="20"/>
        </w:rPr>
        <w:t>partially offset by $1.0 million in proceeds from the issuance of common stock under the ESPP and $0.2 million in proceeds from the exercise of common stock options.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Net cash used in financing activities during the six months ended June 30, 2025, was $27.2 million, primarily consisting of payments of $26.6 million for the repurchase of our common stock and a payment of $1.5 million made on our term loan, partially offset by $0.8 million in proceeds from the issuance of common stock under the ESPP.</w:t>
      </w:r>
    </w:p>
    <w:p>
      <w:pPr>
        <w:pStyle w:val="TextBody"/>
        <w:shd w:fill="FFFFFF" w:val="clear"/>
        <w:bidi w:val="0"/>
        <w:spacing w:before="0" w:after="240"/>
        <w:ind w:left="0" w:right="0" w:hanging="0"/>
        <w:jc w:val="both"/>
        <w:rPr>
          <w:rFonts w:ascii="Times New Roman;Times;serif" w:hAnsi="Times New Roman;Times;serif"/>
          <w:sz w:val="20"/>
        </w:rPr>
      </w:pPr>
      <w:bookmarkStart w:id="1210" w:name="_8d8b031d_71c8_475f_9f42_c6136a6dc379"/>
      <w:bookmarkEnd w:id="1210"/>
      <w:r>
        <w:rPr>
          <w:rFonts w:ascii="Arial;Helvetica;sans-serif" w:hAnsi="Arial;Helvetica;sans-serif"/>
          <w:b/>
          <w:i/>
          <w:sz w:val="20"/>
        </w:rPr>
        <w:t>Credit Agreement</w:t>
      </w:r>
      <w:r>
        <w:rPr>
          <w:rFonts w:ascii="Times New Roman;Times;serif" w:hAnsi="Times New Roman;Times;serif"/>
          <w:sz w:val="20"/>
        </w:rPr>
        <w:t xml:space="preserve"> </w:t>
      </w:r>
    </w:p>
    <w:p>
      <w:pPr>
        <w:pStyle w:val="TextBody"/>
        <w:pBdr/>
        <w:bidi w:val="0"/>
        <w:spacing w:before="0" w:after="0"/>
        <w:ind w:left="0" w:right="0" w:firstLine="720"/>
        <w:jc w:val="both"/>
        <w:rPr>
          <w:rFonts w:ascii="Arial;Helvetica;sans-serif" w:hAnsi="Arial;Helvetica;sans-serif"/>
          <w:sz w:val="20"/>
        </w:rPr>
      </w:pPr>
      <w:r>
        <w:rPr>
          <w:rFonts w:ascii="Arial;Helvetica;sans-serif" w:hAnsi="Arial;Helvetica;sans-serif"/>
          <w:sz w:val="20"/>
        </w:rPr>
        <w:t>On July 31, 2025, we entered into an Amended and Restated Credit Agreement with the lenders from time to time party thereto, and Wells Fargo Bank, National Association, as administrative agent (the “2025 Credit Agreement”), which amended and restated the credit agreement that we had in place prior to that time (the “Prior Credit Agreement”). The 2025 Credit Agreement provides for a $40.0 million revolving credit facility with a scheduled maturity date of July 31, 2028.</w:t>
      </w:r>
    </w:p>
    <w:p>
      <w:pPr>
        <w:pStyle w:val="TextBody"/>
        <w:bidi w:val="0"/>
        <w:spacing w:before="280" w:after="0"/>
        <w:ind w:left="0" w:right="0" w:firstLine="720"/>
        <w:jc w:val="both"/>
        <w:rPr>
          <w:rFonts w:ascii="Arial;Helvetica;sans-serif" w:hAnsi="Arial;Helvetica;sans-serif"/>
          <w:sz w:val="20"/>
        </w:rPr>
      </w:pPr>
      <w:r>
        <w:rPr>
          <w:rFonts w:ascii="Arial;Helvetica;sans-serif" w:hAnsi="Arial;Helvetica;sans-serif"/>
          <w:sz w:val="20"/>
        </w:rPr>
        <w:t>In connection with the entry into the 2025 Credit Agreement, on July 31, 2025, we paid off the full amount outstanding under the term loan that was outstanding under the Prior Credit Agreement, which was $24.4 million (inclusive of principal and interest), using cash on hand. The term loan had been reflected on our condensed consolidated financial statements as a note payable. The 2025 Credit Agreement removed the provisions from the Prior Credit Agreement related to a committed term loan, such that the only term loan related provisions in the 2025 Credit Agreement relate to our ability to request uncommitted incremental term loan facilities and/or an increase in the amount of the revolving loans available under the 2025 Credit Agreement in an amount not to exceed $25.0 million in the aggregate, subject to the satisfaction of certain conditions.</w:t>
      </w:r>
    </w:p>
    <w:p>
      <w:pPr>
        <w:pStyle w:val="TextBody"/>
        <w:bidi w:val="0"/>
        <w:spacing w:before="280" w:after="0"/>
        <w:ind w:left="0" w:right="0" w:firstLine="720"/>
        <w:jc w:val="both"/>
        <w:rPr>
          <w:rFonts w:ascii="Arial;Helvetica;sans-serif" w:hAnsi="Arial;Helvetica;sans-serif"/>
          <w:sz w:val="20"/>
        </w:rPr>
      </w:pPr>
      <w:r>
        <w:rPr>
          <w:rFonts w:ascii="Arial;Helvetica;sans-serif" w:hAnsi="Arial;Helvetica;sans-serif"/>
          <w:sz w:val="20"/>
        </w:rPr>
        <w:t>Amounts drawn under the revolving credit facility bear interest, at our option, at a rate equal to (a) the highest of (i) the prime rate, (ii) the federal funds rate plus 0.50% and (iii) Adjusted Term SOFR (defined as term Secured Overnight Financing Rate) for a one-month tenor plus 1% (the “Base Rate”) plus an applicable margin or (b) Adjusted Term SOFR for an interest period of one, three or six months, at our option, plus the applicable margin. The applicable margin is 0.75% to 1.75% on loans bearing interest at the Base Rate and 1.75% to 2.75% on loans bearing interest at Adjusted Term SOFR, in each case depending on our consolidated total leverage ratio.</w:t>
      </w:r>
    </w:p>
    <w:p>
      <w:pPr>
        <w:pStyle w:val="TextBody"/>
        <w:bidi w:val="0"/>
        <w:spacing w:before="280" w:after="0"/>
        <w:ind w:left="0" w:right="0" w:firstLine="720"/>
        <w:jc w:val="both"/>
        <w:rPr>
          <w:rFonts w:ascii="Arial;Helvetica;sans-serif" w:hAnsi="Arial;Helvetica;sans-serif"/>
          <w:sz w:val="20"/>
        </w:rPr>
      </w:pPr>
      <w:r>
        <w:rPr>
          <w:rFonts w:ascii="Arial;Helvetica;sans-serif" w:hAnsi="Arial;Helvetica;sans-serif"/>
          <w:sz w:val="20"/>
        </w:rPr>
        <w:t xml:space="preserve">The 2025 Credit Agreement provides for a commitment fee at a rate per annum ranging from 0.125% to 0.250% for the unused portion of the revolving credit facility, depending on our consolidated total leverage ratio. </w:t>
      </w:r>
    </w:p>
    <w:p>
      <w:pPr>
        <w:pStyle w:val="TextBody"/>
        <w:bidi w:val="0"/>
        <w:spacing w:before="280" w:after="0"/>
        <w:ind w:left="0" w:right="0" w:firstLine="720"/>
        <w:jc w:val="both"/>
        <w:rPr>
          <w:rFonts w:ascii="Arial;Helvetica;sans-serif" w:hAnsi="Arial;Helvetica;sans-serif"/>
          <w:sz w:val="20"/>
        </w:rPr>
      </w:pPr>
      <w:r>
        <w:rPr>
          <w:rFonts w:ascii="Arial;Helvetica;sans-serif" w:hAnsi="Arial;Helvetica;sans-serif"/>
          <w:sz w:val="20"/>
        </w:rPr>
        <w:t>The 2025 Credit Agreement includes financial covenants consisting of a maximum consolidated total leverage ratio covenant and a minimum fixed charge coverage ratio covenant. In addition, the 2025 Credit Agreement includes customary negative covenants, including a restricted payment covenant that permits the Company to repurchase shares of its common stock and make certain other payments, as long as the Company is not in default under the 2025 Credit Agreement, has a consolidated total leverage ratio of no greater than 1.75 to 1.00, and has liquidity of not less than $30.0 million, in each case both before and after giving effect to such stock repurchases or the making of such payments. As of June 30, 2026, we were in compliance with all covenants under the 2025 Credit Agreement.</w:t>
      </w:r>
    </w:p>
    <w:p>
      <w:pPr>
        <w:pStyle w:val="TextBody"/>
        <w:bidi w:val="0"/>
        <w:spacing w:before="280" w:after="0"/>
        <w:ind w:left="0" w:right="0" w:firstLine="720"/>
        <w:jc w:val="both"/>
        <w:rPr>
          <w:rFonts w:ascii="Arial;Helvetica;sans-serif" w:hAnsi="Arial;Helvetica;sans-serif"/>
          <w:sz w:val="20"/>
        </w:rPr>
      </w:pPr>
      <w:r>
        <w:rPr>
          <w:rFonts w:ascii="Arial;Helvetica;sans-serif" w:hAnsi="Arial;Helvetica;sans-serif"/>
          <w:sz w:val="20"/>
        </w:rPr>
        <w:t>Our obligations under the 2025 Credit Agreement are secured by a security interest in substantially all of our and our subsidiary’s assets and are also guaranteed by our subsidiary.</w:t>
      </w:r>
    </w:p>
    <w:p>
      <w:pPr>
        <w:pStyle w:val="TextBody"/>
        <w:bidi w:val="0"/>
        <w:spacing w:before="280" w:after="240"/>
        <w:ind w:left="0" w:right="0" w:firstLine="720"/>
        <w:jc w:val="both"/>
        <w:rPr>
          <w:rFonts w:ascii="Arial;Helvetica;sans-serif" w:hAnsi="Arial;Helvetica;sans-serif"/>
          <w:sz w:val="20"/>
        </w:rPr>
      </w:pPr>
      <w:r>
        <w:rPr>
          <w:rFonts w:ascii="Arial;Helvetica;sans-serif" w:hAnsi="Arial;Helvetica;sans-serif"/>
          <w:sz w:val="20"/>
        </w:rPr>
        <w:t>As of June 30, 2026, we had no outstanding borrowings under the 2025 Credit Agreement.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Share Repurchase Program</w:t>
      </w:r>
    </w:p>
    <w:p>
      <w:pPr>
        <w:pStyle w:val="TextBody"/>
        <w:bidi w:val="0"/>
        <w:spacing w:before="100" w:after="100"/>
        <w:ind w:left="0" w:right="0" w:firstLine="720"/>
        <w:jc w:val="both"/>
        <w:rPr/>
      </w:pPr>
      <w:r>
        <w:rPr/>
        <w:t>​</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On October 16, 2025, our Board of Directors authorized a new program to repurchase up to $25.0 million of our common stock. Under the program, purchases may be made from time to time in the open market, in privately negotiated purchases, or both. The timing and number of shares to be purchased will be based on the price of the Company's common stock, general business and market conditions and other investment considerations and factors. This share repurchase program expires on November 3, 2027. The program does not obligate the Company to repurchase any specific number of shares and may be suspended or discontinued at any time without prior notice.</w:t>
      </w:r>
    </w:p>
    <w:p>
      <w:pPr>
        <w:pStyle w:val="TextBody"/>
        <w:bidi w:val="0"/>
        <w:spacing w:before="0" w:after="240"/>
        <w:ind w:left="0" w:right="0" w:firstLine="720"/>
        <w:jc w:val="both"/>
        <w:rPr>
          <w:rFonts w:ascii="Arial;Helvetica;sans-serif" w:hAnsi="Arial;Helvetica;sans-serif"/>
          <w:sz w:val="20"/>
        </w:rPr>
      </w:pPr>
      <w:r>
        <w:rPr>
          <w:rFonts w:ascii="Arial;Helvetica;sans-serif" w:hAnsi="Arial;Helvetica;sans-serif"/>
          <w:sz w:val="20"/>
        </w:rPr>
        <w:t xml:space="preserve">During the six months ended June 30, 2026, we repurchased 249,150 shares for approximately $6.4 million. We used cash on hand to fund these repurchases. </w:t>
      </w:r>
    </w:p>
    <w:p>
      <w:pPr>
        <w:pStyle w:val="TextBody"/>
        <w:pBdr/>
        <w:bidi w:val="0"/>
        <w:spacing w:before="0" w:after="0"/>
        <w:ind w:left="0" w:right="0" w:hanging="0"/>
        <w:jc w:val="both"/>
        <w:rPr>
          <w:rFonts w:ascii="Arial;Helvetica;sans-serif" w:hAnsi="Arial;Helvetica;sans-serif"/>
          <w:b/>
          <w:sz w:val="20"/>
        </w:rPr>
      </w:pPr>
      <w:r>
        <w:rPr>
          <w:rFonts w:ascii="Arial;Helvetica;sans-serif" w:hAnsi="Arial;Helvetica;sans-serif"/>
          <w:b/>
          <w:sz w:val="20"/>
        </w:rPr>
        <w:t>Future Cash Requirements</w:t>
      </w:r>
    </w:p>
    <w:p>
      <w:pPr>
        <w:pStyle w:val="TextBody"/>
        <w:pBdr/>
        <w:shd w:fill="FFFFFF" w:val="clear"/>
        <w:bidi w:val="0"/>
        <w:spacing w:before="40" w:after="0"/>
        <w:ind w:left="0" w:right="0" w:firstLine="720"/>
        <w:jc w:val="both"/>
        <w:rPr>
          <w:rFonts w:ascii="Arial;Helvetica;sans-serif" w:hAnsi="Arial;Helvetica;sans-serif"/>
          <w:sz w:val="20"/>
        </w:rPr>
      </w:pPr>
      <w:r>
        <w:rPr>
          <w:rFonts w:ascii="Arial;Helvetica;sans-serif" w:hAnsi="Arial;Helvetica;sans-serif"/>
          <w:sz w:val="20"/>
        </w:rPr>
        <w:t>For a discussion of our material estimated future cash requirements under our contractual obligations and commercial commitments, in total and disaggregated into current and long-term, see “Future Cash Requirements” included in Item 7, Management’s Discussion and Analysis of Financial Condition and Results of Operations in our Annual Report on Form 10-K for the year ended December 31, 2025. There have been no material changes since December 31, 2025.</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Adequacy of Resources</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Our future cash requirements may vary significantly from those now planned and will depend on many factors, including:</w:t>
      </w:r>
    </w:p>
    <w:tbl>
      <w:tblPr>
        <w:tblW w:w="7086" w:type="dxa"/>
        <w:jc w:val="left"/>
        <w:tblInd w:w="0" w:type="dxa"/>
        <w:shd w:fill="FFFFFF" w:val="clear"/>
        <w:tblLayout w:type="fixed"/>
        <w:tblCellMar>
          <w:top w:w="28" w:type="dxa"/>
          <w:left w:w="28" w:type="dxa"/>
          <w:bottom w:w="28" w:type="dxa"/>
          <w:right w:w="28" w:type="dxa"/>
        </w:tblCellMar>
      </w:tblPr>
      <w:tblGrid>
        <w:gridCol w:w="124"/>
        <w:gridCol w:w="256"/>
        <w:gridCol w:w="67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impacts of inflation, rising interest rates or a recession on our business;</w:t>
            </w:r>
          </w:p>
        </w:tc>
      </w:tr>
    </w:tbl>
    <w:tbl>
      <w:tblPr>
        <w:tblW w:w="6651" w:type="dxa"/>
        <w:jc w:val="left"/>
        <w:tblInd w:w="0" w:type="dxa"/>
        <w:shd w:fill="FFFFFF" w:val="clear"/>
        <w:tblLayout w:type="fixed"/>
        <w:tblCellMar>
          <w:top w:w="28" w:type="dxa"/>
          <w:left w:w="28" w:type="dxa"/>
          <w:bottom w:w="28" w:type="dxa"/>
          <w:right w:w="28" w:type="dxa"/>
        </w:tblCellMar>
      </w:tblPr>
      <w:tblGrid>
        <w:gridCol w:w="124"/>
        <w:gridCol w:w="256"/>
        <w:gridCol w:w="627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sales and marketing resources needed to further penetrate our market;</w:t>
            </w:r>
          </w:p>
        </w:tc>
      </w:tr>
    </w:tbl>
    <w:tbl>
      <w:tblPr>
        <w:tblW w:w="2991" w:type="dxa"/>
        <w:jc w:val="left"/>
        <w:tblInd w:w="0" w:type="dxa"/>
        <w:shd w:fill="FFFFFF" w:val="clear"/>
        <w:tblLayout w:type="fixed"/>
        <w:tblCellMar>
          <w:top w:w="28" w:type="dxa"/>
          <w:left w:w="28" w:type="dxa"/>
          <w:bottom w:w="28" w:type="dxa"/>
          <w:right w:w="28" w:type="dxa"/>
        </w:tblCellMar>
      </w:tblPr>
      <w:tblGrid>
        <w:gridCol w:w="124"/>
        <w:gridCol w:w="256"/>
        <w:gridCol w:w="261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expansion of our operations;</w:t>
            </w:r>
          </w:p>
        </w:tc>
      </w:tr>
    </w:tbl>
    <w:tbl>
      <w:tblPr>
        <w:tblW w:w="3816" w:type="dxa"/>
        <w:jc w:val="left"/>
        <w:tblInd w:w="0" w:type="dxa"/>
        <w:shd w:fill="FFFFFF" w:val="clear"/>
        <w:tblLayout w:type="fixed"/>
        <w:tblCellMar>
          <w:top w:w="28" w:type="dxa"/>
          <w:left w:w="28" w:type="dxa"/>
          <w:bottom w:w="28" w:type="dxa"/>
          <w:right w:w="28" w:type="dxa"/>
        </w:tblCellMar>
      </w:tblPr>
      <w:tblGrid>
        <w:gridCol w:w="124"/>
        <w:gridCol w:w="256"/>
        <w:gridCol w:w="34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IT investments to scale our business;</w:t>
            </w:r>
          </w:p>
        </w:tc>
      </w:tr>
    </w:tbl>
    <w:tbl>
      <w:tblPr>
        <w:tblW w:w="5616" w:type="dxa"/>
        <w:jc w:val="left"/>
        <w:tblInd w:w="0" w:type="dxa"/>
        <w:shd w:fill="FFFFFF" w:val="clear"/>
        <w:tblLayout w:type="fixed"/>
        <w:tblCellMar>
          <w:top w:w="28" w:type="dxa"/>
          <w:left w:w="28" w:type="dxa"/>
          <w:bottom w:w="28" w:type="dxa"/>
          <w:right w:w="28" w:type="dxa"/>
        </w:tblCellMar>
      </w:tblPr>
      <w:tblGrid>
        <w:gridCol w:w="124"/>
        <w:gridCol w:w="256"/>
        <w:gridCol w:w="523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response of competitors to our solutions and applications; </w:t>
            </w:r>
          </w:p>
        </w:tc>
      </w:tr>
    </w:tbl>
    <w:tbl>
      <w:tblPr>
        <w:tblW w:w="4791" w:type="dxa"/>
        <w:jc w:val="left"/>
        <w:tblInd w:w="0" w:type="dxa"/>
        <w:shd w:fill="FFFFFF" w:val="clear"/>
        <w:tblLayout w:type="fixed"/>
        <w:tblCellMar>
          <w:top w:w="28" w:type="dxa"/>
          <w:left w:w="28" w:type="dxa"/>
          <w:bottom w:w="28" w:type="dxa"/>
          <w:right w:w="28" w:type="dxa"/>
        </w:tblCellMar>
      </w:tblPr>
      <w:tblGrid>
        <w:gridCol w:w="124"/>
        <w:gridCol w:w="256"/>
        <w:gridCol w:w="441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associated with clinical research activities;</w:t>
            </w:r>
          </w:p>
        </w:tc>
      </w:tr>
    </w:tbl>
    <w:tbl>
      <w:tblPr>
        <w:tblW w:w="2841" w:type="dxa"/>
        <w:jc w:val="left"/>
        <w:tblInd w:w="0" w:type="dxa"/>
        <w:shd w:fill="FFFFFF" w:val="clear"/>
        <w:tblLayout w:type="fixed"/>
        <w:tblCellMar>
          <w:top w:w="28" w:type="dxa"/>
          <w:left w:w="28" w:type="dxa"/>
          <w:bottom w:w="28" w:type="dxa"/>
          <w:right w:w="28" w:type="dxa"/>
        </w:tblCellMar>
      </w:tblPr>
      <w:tblGrid>
        <w:gridCol w:w="124"/>
        <w:gridCol w:w="256"/>
        <w:gridCol w:w="246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increases in interest rates;</w:t>
            </w:r>
          </w:p>
        </w:tc>
      </w:tr>
    </w:tbl>
    <w:tbl>
      <w:tblPr>
        <w:tblW w:w="3546" w:type="dxa"/>
        <w:jc w:val="left"/>
        <w:tblInd w:w="0" w:type="dxa"/>
        <w:shd w:fill="FFFFFF" w:val="clear"/>
        <w:tblLayout w:type="fixed"/>
        <w:tblCellMar>
          <w:top w:w="28" w:type="dxa"/>
          <w:left w:w="28" w:type="dxa"/>
          <w:bottom w:w="28" w:type="dxa"/>
          <w:right w:w="28" w:type="dxa"/>
        </w:tblCellMar>
      </w:tblPr>
      <w:tblGrid>
        <w:gridCol w:w="124"/>
        <w:gridCol w:w="256"/>
        <w:gridCol w:w="316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labor shortages and wage inflation;</w:t>
            </w:r>
          </w:p>
        </w:tc>
      </w:tr>
    </w:tbl>
    <w:tbl>
      <w:tblPr>
        <w:tblW w:w="2766" w:type="dxa"/>
        <w:jc w:val="left"/>
        <w:tblInd w:w="0" w:type="dxa"/>
        <w:shd w:fill="FFFFFF" w:val="clear"/>
        <w:tblLayout w:type="fixed"/>
        <w:tblCellMar>
          <w:top w:w="28" w:type="dxa"/>
          <w:left w:w="28" w:type="dxa"/>
          <w:bottom w:w="28" w:type="dxa"/>
          <w:right w:w="28" w:type="dxa"/>
        </w:tblCellMar>
      </w:tblPr>
      <w:tblGrid>
        <w:gridCol w:w="124"/>
        <w:gridCol w:w="256"/>
        <w:gridCol w:w="238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component price inflation;</w:t>
            </w:r>
          </w:p>
        </w:tc>
      </w:tr>
    </w:tbl>
    <w:tbl>
      <w:tblPr>
        <w:tblW w:w="8001" w:type="dxa"/>
        <w:jc w:val="left"/>
        <w:tblInd w:w="0" w:type="dxa"/>
        <w:shd w:fill="FFFFFF" w:val="clear"/>
        <w:tblLayout w:type="fixed"/>
        <w:tblCellMar>
          <w:top w:w="28" w:type="dxa"/>
          <w:left w:w="28" w:type="dxa"/>
          <w:bottom w:w="28" w:type="dxa"/>
          <w:right w:w="28" w:type="dxa"/>
        </w:tblCellMar>
      </w:tblPr>
      <w:tblGrid>
        <w:gridCol w:w="124"/>
        <w:gridCol w:w="256"/>
        <w:gridCol w:w="762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costs to develop and implement new products and revisions to existing products; and </w:t>
            </w:r>
          </w:p>
        </w:tc>
      </w:tr>
    </w:tbl>
    <w:tbl>
      <w:tblPr>
        <w:tblW w:w="4746" w:type="dxa"/>
        <w:jc w:val="left"/>
        <w:tblInd w:w="0" w:type="dxa"/>
        <w:shd w:fill="FFFFFF" w:val="clear"/>
        <w:tblLayout w:type="fixed"/>
        <w:tblCellMar>
          <w:top w:w="28" w:type="dxa"/>
          <w:left w:w="28" w:type="dxa"/>
          <w:bottom w:w="28" w:type="dxa"/>
          <w:right w:w="28" w:type="dxa"/>
        </w:tblCellMar>
      </w:tblPr>
      <w:tblGrid>
        <w:gridCol w:w="124"/>
        <w:gridCol w:w="256"/>
        <w:gridCol w:w="436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use of capital for acquisitions or licenses, if any.</w:t>
            </w:r>
          </w:p>
        </w:tc>
      </w:tr>
    </w:tbl>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Historically, we have experienced increases in our expenditures consistent with the growth in our revenue, operations and personnel, and we anticipate that our expenditures will continue to increase as we expand our business.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We believe our cash and cash flows from operations will be sufficient to meet our working capital, capital expenditure, debt repayment and related interest, and other cash requirements for at least the next twelve months.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202"/>
        <w:jc w:val="both"/>
        <w:rPr>
          <w:rFonts w:ascii="Arial;Helvetica;sans-serif" w:hAnsi="Arial;Helvetica;sans-serif"/>
          <w:b/>
          <w:sz w:val="20"/>
        </w:rPr>
      </w:pPr>
      <w:bookmarkStart w:id="1211" w:name="_6ec26627_c129_4d05_875a_6baa4b144281"/>
      <w:bookmarkEnd w:id="1211"/>
      <w:r>
        <w:rPr>
          <w:rFonts w:ascii="Arial;Helvetica;sans-serif" w:hAnsi="Arial;Helvetica;sans-serif"/>
          <w:b/>
          <w:sz w:val="20"/>
        </w:rPr>
        <w:t>Recent Accounting Pronouncements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 xml:space="preserve">Refer to Note 3 </w:t>
      </w:r>
      <w:r>
        <w:rPr>
          <w:rFonts w:ascii="Times New Roman;Times;serif" w:hAnsi="Times New Roman;Times;serif"/>
          <w:sz w:val="20"/>
        </w:rPr>
        <w:t>– “</w:t>
      </w:r>
      <w:r>
        <w:rPr>
          <w:rFonts w:ascii="Arial;Helvetica;sans-serif" w:hAnsi="Arial;Helvetica;sans-serif"/>
          <w:sz w:val="20"/>
        </w:rPr>
        <w:t>Summary of Significant Accounting Policies” of the condensed consolidated financial statements contained in this report for a description of recently issued accounting pronouncements that are applicable to our business.</w:t>
      </w:r>
    </w:p>
    <w:p>
      <w:pPr>
        <w:pStyle w:val="TextBody"/>
        <w:pBdr/>
        <w:shd w:fill="FFFFFF" w:val="clear"/>
        <w:bidi w:val="0"/>
        <w:spacing w:before="0" w:after="0"/>
        <w:ind w:left="0" w:right="0" w:hanging="0"/>
        <w:jc w:val="both"/>
        <w:rPr>
          <w:rFonts w:ascii="Arial;Helvetica;sans-serif" w:hAnsi="Arial;Helvetica;sans-serif"/>
          <w:b/>
          <w:sz w:val="20"/>
        </w:rPr>
      </w:pPr>
      <w:bookmarkStart w:id="1212" w:name="_b3c4a441_b218_4e02_87c1_0946abacf355"/>
      <w:bookmarkEnd w:id="1212"/>
      <w:r>
        <w:rPr>
          <w:rFonts w:ascii="Arial;Helvetica;sans-serif" w:hAnsi="Arial;Helvetica;sans-serif"/>
          <w:b/>
          <w:sz w:val="20"/>
        </w:rPr>
        <w:t>Critical Accounting Estimates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Critical accounting estimates are those that involve a significant level of estimation uncertainty and have had or are reasonably likely to have a material impact on our financial condition and results of operations.</w:t>
      </w:r>
      <w:r>
        <w:rPr>
          <w:rFonts w:ascii="Times New Roman;Times;serif" w:hAnsi="Times New Roman;Times;serif"/>
          <w:sz w:val="20"/>
        </w:rPr>
        <w:t xml:space="preserve"> </w:t>
      </w:r>
      <w:r>
        <w:rPr>
          <w:rFonts w:ascii="Arial;Helvetica;sans-serif" w:hAnsi="Arial;Helvetica;sans-serif"/>
          <w:sz w:val="20"/>
        </w:rPr>
        <w:t>For additional information, please see the discussion of our most critical accounting estimates under “Critical Accounting Estimates</w:t>
      </w:r>
      <w:r>
        <w:rPr>
          <w:rFonts w:ascii="Times New Roman;Times;serif" w:hAnsi="Times New Roman;Times;serif"/>
          <w:sz w:val="20"/>
        </w:rPr>
        <w:t xml:space="preserve">” </w:t>
      </w:r>
      <w:r>
        <w:rPr>
          <w:rFonts w:ascii="Arial;Helvetica;sans-serif" w:hAnsi="Arial;Helvetica;sans-serif"/>
          <w:sz w:val="20"/>
        </w:rPr>
        <w:t>in Management’s Discussion and Analysis of Financial Condition and Results of Operations in our Annual Report on Form 10-K for the year ended December 31, 2025.</w:t>
      </w:r>
    </w:p>
    <w:p>
      <w:pPr>
        <w:pStyle w:val="TextBody"/>
        <w:pBdr/>
        <w:shd w:fill="FFFFFF" w:val="clear"/>
        <w:bidi w:val="0"/>
        <w:spacing w:before="0" w:after="0"/>
        <w:ind w:left="0" w:right="0" w:hanging="0"/>
        <w:jc w:val="both"/>
        <w:rPr>
          <w:rFonts w:ascii="Arial;Helvetica;sans-serif" w:hAnsi="Arial;Helvetica;sans-serif"/>
          <w:b/>
          <w:sz w:val="20"/>
        </w:rPr>
      </w:pPr>
      <w:bookmarkStart w:id="1213" w:name="Item3QuantitativeandQualitativeDisclosur"/>
      <w:bookmarkStart w:id="1214" w:name="_d0a1e014_7775_467b_8661_e37e8ddb0a22"/>
      <w:bookmarkEnd w:id="1213"/>
      <w:bookmarkEnd w:id="1214"/>
      <w:r>
        <w:rPr>
          <w:rFonts w:ascii="Arial;Helvetica;sans-serif" w:hAnsi="Arial;Helvetica;sans-serif"/>
          <w:b/>
          <w:sz w:val="20"/>
        </w:rPr>
        <w:t>Item 3. Quantitative and Qualitative Disclosures About Market Risk</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For a discussion on our market risks, see Item 7A, “Quantitative and Qualitative Disclosures About Market Risk,” included in our Annual Report on Form 10-K for the year ended December 31, 2025. There have been no material changes since December 31, 2025. </w:t>
      </w:r>
    </w:p>
    <w:p>
      <w:pPr>
        <w:pStyle w:val="TextBody"/>
        <w:pBdr/>
        <w:shd w:fill="FFFFFF" w:val="clear"/>
        <w:bidi w:val="0"/>
        <w:spacing w:before="0" w:after="0"/>
        <w:ind w:left="0" w:right="0" w:hanging="0"/>
        <w:jc w:val="both"/>
        <w:rPr>
          <w:rFonts w:ascii="Arial;Helvetica;sans-serif" w:hAnsi="Arial;Helvetica;sans-serif"/>
          <w:b/>
          <w:sz w:val="20"/>
        </w:rPr>
      </w:pPr>
      <w:bookmarkStart w:id="1215" w:name="Item4ControlsandProcedures_119285"/>
      <w:bookmarkStart w:id="1216" w:name="_0683b053_2459_4a70_93df_e14ce5248b02"/>
      <w:bookmarkEnd w:id="1215"/>
      <w:bookmarkEnd w:id="1216"/>
      <w:r>
        <w:rPr>
          <w:rFonts w:ascii="Arial;Helvetica;sans-serif" w:hAnsi="Arial;Helvetica;sans-serif"/>
          <w:b/>
          <w:sz w:val="20"/>
        </w:rPr>
        <w:t>Item 4. Controls and Procedures.</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Evaluation of Disclosure Controls and Procedures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Changes in Internal Control over Financial Reporting</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There was no change in our internal control over financial reporting, as defined in Rules 13a-15(f) and 15d-15(f) under the Exchange Act, that occurred during the quarter ended June 30, 2026, that has materially affected, or is reasonably likely to materially affect, our internal control over financial reporting.</w:t>
      </w:r>
    </w:p>
    <w:p>
      <w:pPr>
        <w:pStyle w:val="TextBody"/>
        <w:pBdr/>
        <w:shd w:fill="FFFFFF" w:val="clear"/>
        <w:bidi w:val="0"/>
        <w:spacing w:before="0" w:after="0"/>
        <w:ind w:left="0" w:right="0" w:hanging="0"/>
        <w:jc w:val="both"/>
        <w:rPr>
          <w:rFonts w:ascii="Arial;Helvetica;sans-serif" w:hAnsi="Arial;Helvetica;sans-serif"/>
          <w:b/>
          <w:sz w:val="20"/>
        </w:rPr>
      </w:pPr>
      <w:bookmarkStart w:id="1217" w:name="_82cc5d99_d71c_4f9e_b89d_867c4a723c6c"/>
      <w:bookmarkEnd w:id="1217"/>
      <w:r>
        <w:rPr>
          <w:rFonts w:ascii="Arial;Helvetica;sans-serif" w:hAnsi="Arial;Helvetica;sans-serif"/>
          <w:b/>
          <w:sz w:val="20"/>
        </w:rPr>
        <w:t>PART II—OTHER INFORMATION</w:t>
      </w:r>
    </w:p>
    <w:p>
      <w:pPr>
        <w:pStyle w:val="TextBody"/>
        <w:pBdr/>
        <w:shd w:fill="FFFFFF" w:val="clear"/>
        <w:bidi w:val="0"/>
        <w:spacing w:before="0" w:after="0"/>
        <w:ind w:left="0" w:right="0" w:hanging="0"/>
        <w:jc w:val="both"/>
        <w:rPr>
          <w:rFonts w:ascii="Arial;Helvetica;sans-serif" w:hAnsi="Arial;Helvetica;sans-serif"/>
          <w:b/>
          <w:sz w:val="20"/>
        </w:rPr>
      </w:pPr>
      <w:bookmarkStart w:id="1218" w:name="Item1LegalProceedings_81141"/>
      <w:bookmarkStart w:id="1219" w:name="_f62b7d44_9612_49e9_94a7_77ec3faf62a2"/>
      <w:bookmarkStart w:id="1220" w:name="_Hlk69476953"/>
      <w:bookmarkStart w:id="1221" w:name="PARTIIOTHERINFORMATION_513372"/>
      <w:bookmarkEnd w:id="1218"/>
      <w:bookmarkEnd w:id="1219"/>
      <w:bookmarkEnd w:id="1220"/>
      <w:bookmarkEnd w:id="1221"/>
      <w:r>
        <w:rPr>
          <w:rFonts w:ascii="Arial;Helvetica;sans-serif" w:hAnsi="Arial;Helvetica;sans-serif"/>
          <w:b/>
          <w:sz w:val="20"/>
        </w:rPr>
        <w:t>Item 1. Legal Proceedings.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Information pertaining to certain legal proceedings in which we are involved can be found in Note 9 – “Commitments and Contingencies” to our condensed consolidated financial statements included in Part I, Item 1 of this report and is incorporated herein by reference.</w:t>
      </w:r>
      <w:r>
        <w:rPr>
          <w:rFonts w:ascii="Times New Roman;Times;serif" w:hAnsi="Times New Roman;Times;serif"/>
          <w:sz w:val="20"/>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b/>
          <w:sz w:val="20"/>
        </w:rPr>
      </w:pPr>
      <w:bookmarkStart w:id="1222" w:name="Item1ARiskFactors_664913"/>
      <w:bookmarkStart w:id="1223" w:name="_f444dfc2_cffe_485a_8186_a1bc31a2fd62"/>
      <w:bookmarkEnd w:id="1222"/>
      <w:bookmarkEnd w:id="1223"/>
      <w:r>
        <w:rPr>
          <w:rFonts w:ascii="Arial;Helvetica;sans-serif" w:hAnsi="Arial;Helvetica;sans-serif"/>
          <w:b/>
          <w:sz w:val="20"/>
        </w:rPr>
        <w:t>Item 1A. Risk Factors.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In addition to the other information set forth in this Quarterly Report on Form 10-Q, you should carefully consider the factors discussed in “Risk Factors” in our Annual Report on Form 10-K for the year ended December 31, 2025, which could materially affect our business, financial condition or future results. There have been no material changes in our risk factors from those disclosed in that report.</w:t>
      </w:r>
    </w:p>
    <w:p>
      <w:pPr>
        <w:pStyle w:val="TextBody"/>
        <w:pBdr/>
        <w:shd w:fill="FFFFFF" w:val="clear"/>
        <w:bidi w:val="0"/>
        <w:spacing w:before="0" w:after="0"/>
        <w:ind w:left="0" w:right="0" w:hanging="0"/>
        <w:jc w:val="both"/>
        <w:rPr>
          <w:rFonts w:ascii="Arial;Helvetica;sans-serif" w:hAnsi="Arial;Helvetica;sans-serif"/>
          <w:b/>
          <w:sz w:val="20"/>
        </w:rPr>
      </w:pPr>
      <w:bookmarkStart w:id="1224" w:name="Item2UnregisteredSalesofEquitySecurities"/>
      <w:bookmarkStart w:id="1225" w:name="_5f146f14_1966_4f06_bf12_7ccf08430120"/>
      <w:bookmarkEnd w:id="1224"/>
      <w:bookmarkEnd w:id="1225"/>
      <w:r>
        <w:rPr>
          <w:rFonts w:ascii="Arial;Helvetica;sans-serif" w:hAnsi="Arial;Helvetica;sans-serif"/>
          <w:b/>
          <w:sz w:val="20"/>
        </w:rPr>
        <w:t>Item 2. Unregistered Sales of Equity Securities and Use of Proceeds.</w:t>
      </w:r>
    </w:p>
    <w:p>
      <w:pPr>
        <w:pStyle w:val="TextBody"/>
        <w:shd w:fill="FFFFFF" w:val="clear"/>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Issuer Purchases of Equity Securities</w:t>
      </w:r>
    </w:p>
    <w:tbl>
      <w:tblPr>
        <w:tblW w:w="10097" w:type="dxa"/>
        <w:jc w:val="left"/>
        <w:tblInd w:w="0" w:type="dxa"/>
        <w:tblLayout w:type="fixed"/>
        <w:tblCellMar>
          <w:top w:w="0" w:type="dxa"/>
          <w:left w:w="0" w:type="dxa"/>
          <w:bottom w:w="0" w:type="dxa"/>
          <w:right w:w="0" w:type="dxa"/>
        </w:tblCellMar>
      </w:tblPr>
      <w:tblGrid>
        <w:gridCol w:w="3661"/>
        <w:gridCol w:w="109"/>
        <w:gridCol w:w="1201"/>
        <w:gridCol w:w="164"/>
        <w:gridCol w:w="109"/>
        <w:gridCol w:w="279"/>
        <w:gridCol w:w="776"/>
        <w:gridCol w:w="144"/>
        <w:gridCol w:w="109"/>
        <w:gridCol w:w="1546"/>
        <w:gridCol w:w="109"/>
        <w:gridCol w:w="420"/>
        <w:gridCol w:w="1470"/>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324735" cy="175260"/>
                      <wp:effectExtent l="0" t="0" r="0" b="0"/>
                      <wp:wrapNone/>
                      <wp:docPr id="338" name="Frame338"/>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62635" cy="175260"/>
                      <wp:effectExtent l="0" t="0" r="0" b="0"/>
                      <wp:wrapNone/>
                      <wp:docPr id="340" name="Frame34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04140" cy="175260"/>
                      <wp:effectExtent l="0" t="0" r="0" b="0"/>
                      <wp:wrapNone/>
                      <wp:docPr id="341" name="Frame341"/>
                      <a:graphic xmlns:a="http://schemas.openxmlformats.org/drawingml/2006/main">
                        <a:graphicData uri="http://schemas.microsoft.com/office/word/2010/wordprocessingShape">
                          <wps:wsp>
                            <wps:cNvSpPr txBox="1"/>
                            <wps:spPr>
                              <a:xfrm>
                                <a:off x="0" y="0"/>
                                <a:ext cx="104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77165" cy="175260"/>
                      <wp:effectExtent l="0" t="0" r="0" b="0"/>
                      <wp:wrapNone/>
                      <wp:docPr id="343" name="Frame34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92760" cy="175260"/>
                      <wp:effectExtent l="0" t="0" r="0" b="0"/>
                      <wp:wrapNone/>
                      <wp:docPr id="344" name="Frame344"/>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91440" cy="175260"/>
                      <wp:effectExtent l="0" t="0" r="0" b="0"/>
                      <wp:wrapNone/>
                      <wp:docPr id="345" name="Frame345"/>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981710" cy="175260"/>
                      <wp:effectExtent l="0" t="0" r="0" b="0"/>
                      <wp:wrapNone/>
                      <wp:docPr id="347" name="Frame34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66700" cy="175260"/>
                      <wp:effectExtent l="0" t="0" r="0" b="0"/>
                      <wp:wrapNone/>
                      <wp:docPr id="349" name="Frame34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933450" cy="175260"/>
                      <wp:effectExtent l="0" t="0" r="0" b="0"/>
                      <wp:wrapNone/>
                      <wp:docPr id="350" name="Frame350"/>
                      <a:graphic xmlns:a="http://schemas.openxmlformats.org/drawingml/2006/main">
                        <a:graphicData uri="http://schemas.microsoft.com/office/word/2010/wordprocessingShape">
                          <wps:wsp>
                            <wps:cNvSpPr txBox="1"/>
                            <wps:spPr>
                              <a:xfrm>
                                <a:off x="0" y="0"/>
                                <a:ext cx="933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1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center"/>
              <w:rPr/>
            </w:pPr>
            <w:r>
              <w:rPr/>
              <w:t>​</w:t>
            </w:r>
          </w:p>
        </w:tc>
        <w:tc>
          <w:tcPr>
            <w:tcW w:w="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109" w:type="dxa"/>
            <w:tcBorders/>
            <w:vAlign w:val="center"/>
          </w:tcPr>
          <w:p>
            <w:pPr>
              <w:pStyle w:val="TableContents"/>
              <w:bidi w:val="0"/>
              <w:spacing w:before="0" w:after="0"/>
              <w:ind w:left="0" w:right="0" w:hanging="0"/>
              <w:jc w:val="center"/>
              <w:rPr/>
            </w:pPr>
            <w:r>
              <w:rPr/>
              <w:t>​</w:t>
            </w:r>
          </w:p>
        </w:tc>
        <w:tc>
          <w:tcPr>
            <w:tcW w:w="189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Approximate</w: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1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center"/>
              <w:rPr/>
            </w:pPr>
            <w:r>
              <w:rPr/>
              <w:t>​</w:t>
            </w:r>
          </w:p>
        </w:tc>
        <w:tc>
          <w:tcPr>
            <w:tcW w:w="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of Shares</w:t>
            </w:r>
          </w:p>
        </w:tc>
        <w:tc>
          <w:tcPr>
            <w:tcW w:w="109" w:type="dxa"/>
            <w:tcBorders/>
            <w:vAlign w:val="center"/>
          </w:tcPr>
          <w:p>
            <w:pPr>
              <w:pStyle w:val="TableContents"/>
              <w:bidi w:val="0"/>
              <w:spacing w:before="0" w:after="0"/>
              <w:ind w:left="0" w:right="0" w:hanging="0"/>
              <w:jc w:val="center"/>
              <w:rPr/>
            </w:pPr>
            <w:r>
              <w:rPr/>
              <w:t>​</w:t>
            </w:r>
          </w:p>
        </w:tc>
        <w:tc>
          <w:tcPr>
            <w:tcW w:w="189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Dollar Value of</w: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1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center"/>
              <w:rPr/>
            </w:pPr>
            <w:r>
              <w:rPr/>
              <w:t>​</w:t>
            </w:r>
          </w:p>
        </w:tc>
        <w:tc>
          <w:tcPr>
            <w:tcW w:w="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Purchased as</w:t>
            </w:r>
          </w:p>
        </w:tc>
        <w:tc>
          <w:tcPr>
            <w:tcW w:w="109" w:type="dxa"/>
            <w:tcBorders/>
            <w:vAlign w:val="center"/>
          </w:tcPr>
          <w:p>
            <w:pPr>
              <w:pStyle w:val="TableContents"/>
              <w:bidi w:val="0"/>
              <w:spacing w:before="0" w:after="0"/>
              <w:ind w:left="0" w:right="0" w:hanging="0"/>
              <w:jc w:val="center"/>
              <w:rPr/>
            </w:pPr>
            <w:r>
              <w:rPr/>
              <w:t>​</w:t>
            </w:r>
          </w:p>
        </w:tc>
        <w:tc>
          <w:tcPr>
            <w:tcW w:w="189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Shares that</w: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c>
          <w:tcPr>
            <w:tcW w:w="1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center"/>
              <w:rPr/>
            </w:pPr>
            <w:r>
              <w:rPr/>
              <w:t>​</w:t>
            </w:r>
          </w:p>
        </w:tc>
        <w:tc>
          <w:tcPr>
            <w:tcW w:w="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Part of Publicly</w:t>
            </w:r>
          </w:p>
        </w:tc>
        <w:tc>
          <w:tcPr>
            <w:tcW w:w="109" w:type="dxa"/>
            <w:tcBorders/>
            <w:vAlign w:val="center"/>
          </w:tcPr>
          <w:p>
            <w:pPr>
              <w:pStyle w:val="TableContents"/>
              <w:bidi w:val="0"/>
              <w:spacing w:before="0" w:after="0"/>
              <w:ind w:left="0" w:right="0" w:hanging="0"/>
              <w:jc w:val="center"/>
              <w:rPr/>
            </w:pPr>
            <w:r>
              <w:rPr/>
              <w:t>​</w:t>
            </w:r>
          </w:p>
        </w:tc>
        <w:tc>
          <w:tcPr>
            <w:tcW w:w="189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May Yet Be</w: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109" w:type="dxa"/>
            <w:tcBorders/>
            <w:vAlign w:val="center"/>
          </w:tcPr>
          <w:p>
            <w:pPr>
              <w:pStyle w:val="TableContents"/>
              <w:bidi w:val="0"/>
              <w:spacing w:before="0" w:after="0"/>
              <w:ind w:left="0" w:right="0" w:hanging="0"/>
              <w:jc w:val="center"/>
              <w:rPr/>
            </w:pPr>
            <w:r>
              <w:rPr/>
              <w:t>​</w:t>
            </w:r>
          </w:p>
        </w:tc>
        <w:tc>
          <w:tcPr>
            <w:tcW w:w="1199"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Average</w:t>
            </w:r>
          </w:p>
        </w:tc>
        <w:tc>
          <w:tcPr>
            <w:tcW w:w="109"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Announced</w:t>
            </w:r>
          </w:p>
        </w:tc>
        <w:tc>
          <w:tcPr>
            <w:tcW w:w="109" w:type="dxa"/>
            <w:tcBorders/>
            <w:vAlign w:val="center"/>
          </w:tcPr>
          <w:p>
            <w:pPr>
              <w:pStyle w:val="TableContents"/>
              <w:bidi w:val="0"/>
              <w:spacing w:before="0" w:after="0"/>
              <w:ind w:left="0" w:right="0" w:hanging="0"/>
              <w:jc w:val="center"/>
              <w:rPr/>
            </w:pPr>
            <w:r>
              <w:rPr/>
              <w:t>​</w:t>
            </w:r>
          </w:p>
        </w:tc>
        <w:tc>
          <w:tcPr>
            <w:tcW w:w="189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Purchased</w: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of Shares</w:t>
            </w:r>
          </w:p>
        </w:tc>
        <w:tc>
          <w:tcPr>
            <w:tcW w:w="109" w:type="dxa"/>
            <w:tcBorders/>
            <w:vAlign w:val="center"/>
          </w:tcPr>
          <w:p>
            <w:pPr>
              <w:pStyle w:val="TableContents"/>
              <w:bidi w:val="0"/>
              <w:spacing w:before="0" w:after="0"/>
              <w:ind w:left="0" w:right="0" w:hanging="0"/>
              <w:jc w:val="center"/>
              <w:rPr/>
            </w:pPr>
            <w:r>
              <w:rPr/>
              <w:t>​</w:t>
            </w:r>
          </w:p>
        </w:tc>
        <w:tc>
          <w:tcPr>
            <w:tcW w:w="1199"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Price Paid</w:t>
            </w:r>
          </w:p>
        </w:tc>
        <w:tc>
          <w:tcPr>
            <w:tcW w:w="109"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Plans or</w:t>
            </w:r>
          </w:p>
        </w:tc>
        <w:tc>
          <w:tcPr>
            <w:tcW w:w="109" w:type="dxa"/>
            <w:tcBorders/>
            <w:vAlign w:val="center"/>
          </w:tcPr>
          <w:p>
            <w:pPr>
              <w:pStyle w:val="TableContents"/>
              <w:bidi w:val="0"/>
              <w:spacing w:before="0" w:after="0"/>
              <w:ind w:left="0" w:right="0" w:hanging="0"/>
              <w:jc w:val="center"/>
              <w:rPr/>
            </w:pPr>
            <w:r>
              <w:rPr/>
              <w:t>​</w:t>
            </w:r>
          </w:p>
        </w:tc>
        <w:tc>
          <w:tcPr>
            <w:tcW w:w="189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Under the Plans or</w:t>
            </w:r>
          </w:p>
        </w:tc>
      </w:tr>
      <w:tr>
        <w:trPr/>
        <w:tc>
          <w:tcPr>
            <w:tcW w:w="366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 except share and per share data)</w:t>
            </w:r>
          </w:p>
        </w:tc>
        <w:tc>
          <w:tcPr>
            <w:tcW w:w="109"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Purchased</w:t>
            </w:r>
          </w:p>
        </w:tc>
        <w:tc>
          <w:tcPr>
            <w:tcW w:w="109" w:type="dxa"/>
            <w:tcBorders/>
            <w:vAlign w:val="center"/>
          </w:tcPr>
          <w:p>
            <w:pPr>
              <w:pStyle w:val="TableContents"/>
              <w:bidi w:val="0"/>
              <w:spacing w:before="0" w:after="0"/>
              <w:ind w:left="0" w:right="0" w:hanging="0"/>
              <w:jc w:val="center"/>
              <w:rPr/>
            </w:pPr>
            <w:r>
              <w:rPr/>
              <w:t>​</w:t>
            </w:r>
          </w:p>
        </w:tc>
        <w:tc>
          <w:tcPr>
            <w:tcW w:w="1199" w:type="dxa"/>
            <w:gridSpan w:val="3"/>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Arial;Helvetica;sans-serif" w:hAnsi="Arial;Helvetica;sans-serif"/>
                <w:b/>
                <w:sz w:val="20"/>
              </w:rPr>
              <w:t>Per Share</w:t>
            </w:r>
            <w:r>
              <w:rPr>
                <w:rFonts w:ascii="Arial;Helvetica;sans-serif" w:hAnsi="Arial;Helvetica;sans-serif"/>
                <w:b/>
                <w:sz w:val="15"/>
              </w:rPr>
              <w:t>(1)</w:t>
            </w:r>
          </w:p>
        </w:tc>
        <w:tc>
          <w:tcPr>
            <w:tcW w:w="109"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Programs</w:t>
            </w:r>
          </w:p>
        </w:tc>
        <w:tc>
          <w:tcPr>
            <w:tcW w:w="109" w:type="dxa"/>
            <w:tcBorders/>
            <w:vAlign w:val="center"/>
          </w:tcPr>
          <w:p>
            <w:pPr>
              <w:pStyle w:val="TableContents"/>
              <w:bidi w:val="0"/>
              <w:spacing w:before="0" w:after="0"/>
              <w:ind w:left="0" w:right="0" w:hanging="0"/>
              <w:jc w:val="center"/>
              <w:rPr/>
            </w:pPr>
            <w:r>
              <w:rPr/>
              <w:t>​</w:t>
            </w:r>
          </w:p>
        </w:tc>
        <w:tc>
          <w:tcPr>
            <w:tcW w:w="189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Arial;Helvetica;sans-serif" w:hAnsi="Arial;Helvetica;sans-serif"/>
                <w:b/>
                <w:sz w:val="20"/>
              </w:rPr>
              <w:t>Programs</w:t>
            </w:r>
            <w:r>
              <w:rPr>
                <w:rFonts w:ascii="Arial;Helvetica;sans-serif" w:hAnsi="Arial;Helvetica;sans-serif"/>
                <w:b/>
                <w:sz w:val="15"/>
              </w:rPr>
              <w:t>(2)</w:t>
            </w:r>
          </w:p>
        </w:tc>
      </w:tr>
      <w:tr>
        <w:trPr/>
        <w:tc>
          <w:tcPr>
            <w:tcW w:w="36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April 1, 2026 - April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158,900</w:t>
            </w:r>
          </w:p>
        </w:tc>
        <w:tc>
          <w:tcPr>
            <w:tcW w:w="16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24.75</w:t>
            </w:r>
          </w:p>
        </w:tc>
        <w:tc>
          <w:tcPr>
            <w:tcW w:w="14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158,900</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4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36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May 1, 2026 - May 31, 2026</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c>
          <w:tcPr>
            <w:tcW w:w="1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4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20,000</w:t>
            </w:r>
          </w:p>
        </w:tc>
      </w:tr>
      <w:tr>
        <w:trPr/>
        <w:tc>
          <w:tcPr>
            <w:tcW w:w="366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June 1, 2026 -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50,000</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27.02</w:t>
            </w:r>
          </w:p>
        </w:tc>
        <w:tc>
          <w:tcPr>
            <w:tcW w:w="14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50,000</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4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18,651</w:t>
            </w:r>
          </w:p>
        </w:tc>
      </w:tr>
      <w:tr>
        <w:trPr/>
        <w:tc>
          <w:tcPr>
            <w:tcW w:w="36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208,900</w:t>
            </w:r>
          </w:p>
        </w:tc>
        <w:tc>
          <w:tcPr>
            <w:tcW w:w="16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right"/>
              <w:rPr/>
            </w:pPr>
            <w:r>
              <w:rPr/>
              <w:t>​</w:t>
            </w:r>
          </w:p>
        </w:tc>
        <w:tc>
          <w:tcPr>
            <w:tcW w:w="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208,900</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470"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(1) Amount includes commissions paid.</w:t>
      </w:r>
    </w:p>
    <w:p>
      <w:pPr>
        <w:pStyle w:val="TextBody"/>
        <w:pBdr/>
        <w:shd w:fill="FFFFFF" w:val="clear"/>
        <w:bidi w:val="0"/>
        <w:spacing w:before="0" w:after="0"/>
        <w:ind w:left="0" w:right="0" w:hanging="0"/>
        <w:jc w:val="both"/>
        <w:rPr>
          <w:rFonts w:ascii="Times New Roman;Times;serif" w:hAnsi="Times New Roman;Times;serif"/>
          <w:sz w:val="16"/>
        </w:rPr>
      </w:pPr>
      <w:r>
        <w:rPr>
          <w:rFonts w:ascii="Arial;Helvetica;sans-serif" w:hAnsi="Arial;Helvetica;sans-serif"/>
          <w:sz w:val="16"/>
        </w:rPr>
        <w:t>(2) On November 3, 2025, we announced that our board of directors authorized a program to repurchase shares of our common stock in an aggregate amount not to exceed $25.0 million. The share repurchase program became effective on November 3, 2025 and expires on November 3, 2027</w:t>
      </w:r>
      <w:r>
        <w:rPr>
          <w:rFonts w:ascii="Arial;Helvetica;sans-serif" w:hAnsi="Arial;Helvetica;sans-serif"/>
          <w:sz w:val="20"/>
        </w:rPr>
        <w:t>.</w:t>
      </w:r>
    </w:p>
    <w:p>
      <w:pPr>
        <w:pStyle w:val="TextBody"/>
        <w:pBdr/>
        <w:shd w:fill="FFFFFF" w:val="clear"/>
        <w:bidi w:val="0"/>
        <w:spacing w:before="0" w:after="0"/>
        <w:ind w:left="0" w:right="0" w:hanging="0"/>
        <w:jc w:val="both"/>
        <w:rPr>
          <w:rFonts w:ascii="Arial;Helvetica;sans-serif" w:hAnsi="Arial;Helvetica;sans-serif"/>
          <w:b/>
          <w:sz w:val="20"/>
        </w:rPr>
      </w:pPr>
      <w:bookmarkStart w:id="1226" w:name="Item3DefaultsUponSeniorSecurities_780159"/>
      <w:bookmarkStart w:id="1227" w:name="_7269d911_badc_471f_be04_9d3b9a8599f1"/>
      <w:bookmarkEnd w:id="1226"/>
      <w:bookmarkEnd w:id="1227"/>
      <w:r>
        <w:rPr>
          <w:rFonts w:ascii="Arial;Helvetica;sans-serif" w:hAnsi="Arial;Helvetica;sans-serif"/>
          <w:b/>
          <w:sz w:val="20"/>
        </w:rPr>
        <w:t>Item 3. Defaults Upon Senior Securities.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Not applicable.</w:t>
      </w:r>
    </w:p>
    <w:p>
      <w:pPr>
        <w:pStyle w:val="TextBody"/>
        <w:pBdr/>
        <w:shd w:fill="FFFFFF" w:val="clear"/>
        <w:bidi w:val="0"/>
        <w:spacing w:before="0" w:after="0"/>
        <w:ind w:left="0" w:right="0" w:hanging="0"/>
        <w:jc w:val="both"/>
        <w:rPr>
          <w:rFonts w:ascii="Arial;Helvetica;sans-serif" w:hAnsi="Arial;Helvetica;sans-serif"/>
          <w:b/>
          <w:sz w:val="20"/>
        </w:rPr>
      </w:pPr>
      <w:bookmarkStart w:id="1228" w:name="Item4MineSafetyDisclosures_923755"/>
      <w:bookmarkStart w:id="1229" w:name="_43aa6e7c_8175_4ab3_8983_0624cb1941b6"/>
      <w:bookmarkEnd w:id="1228"/>
      <w:bookmarkEnd w:id="1229"/>
      <w:r>
        <w:rPr>
          <w:rFonts w:ascii="Arial;Helvetica;sans-serif" w:hAnsi="Arial;Helvetica;sans-serif"/>
          <w:b/>
          <w:sz w:val="20"/>
        </w:rPr>
        <w:t>Item 4. Mine Safety Disclosures.</w:t>
      </w:r>
    </w:p>
    <w:p>
      <w:pPr>
        <w:pStyle w:val="TextBody"/>
        <w:pBdr/>
        <w:shd w:fill="FFFFFF" w:val="clear"/>
        <w:bidi w:val="0"/>
        <w:spacing w:before="0" w:after="0"/>
        <w:ind w:left="0" w:right="0" w:firstLine="720"/>
        <w:jc w:val="both"/>
        <w:rPr>
          <w:rFonts w:ascii="Times New Roman;Times;serif" w:hAnsi="Times New Roman;Times;serif"/>
          <w:sz w:val="20"/>
        </w:rPr>
      </w:pPr>
      <w:r>
        <w:rPr>
          <w:rFonts w:ascii="Arial;Helvetica;sans-serif" w:hAnsi="Arial;Helvetica;sans-serif"/>
          <w:sz w:val="20"/>
        </w:rPr>
        <w:t>Not</w:t>
      </w:r>
      <w:r>
        <w:rPr>
          <w:rFonts w:ascii="Times New Roman;Times;serif" w:hAnsi="Times New Roman;Times;serif"/>
          <w:sz w:val="20"/>
        </w:rPr>
        <w:t xml:space="preserve"> </w:t>
      </w:r>
      <w:r>
        <w:rPr>
          <w:rFonts w:ascii="Arial;Helvetica;sans-serif" w:hAnsi="Arial;Helvetica;sans-serif"/>
          <w:sz w:val="20"/>
        </w:rPr>
        <w:t>applicable.</w:t>
      </w:r>
    </w:p>
    <w:p>
      <w:pPr>
        <w:pStyle w:val="TextBody"/>
        <w:pBdr/>
        <w:shd w:fill="FFFFFF" w:val="clear"/>
        <w:bidi w:val="0"/>
        <w:spacing w:before="0" w:after="0"/>
        <w:ind w:left="0" w:right="0" w:hanging="0"/>
        <w:jc w:val="both"/>
        <w:rPr>
          <w:rFonts w:ascii="Arial;Helvetica;sans-serif" w:hAnsi="Arial;Helvetica;sans-serif"/>
          <w:b/>
          <w:sz w:val="20"/>
        </w:rPr>
      </w:pPr>
      <w:bookmarkStart w:id="1230" w:name="Item5OtherInformation_507706"/>
      <w:bookmarkStart w:id="1231" w:name="_8476e847_8d9f_4550_b386_7111d17aaacd"/>
      <w:bookmarkEnd w:id="1230"/>
      <w:bookmarkEnd w:id="1231"/>
      <w:r>
        <w:rPr>
          <w:rFonts w:ascii="Arial;Helvetica;sans-serif" w:hAnsi="Arial;Helvetica;sans-serif"/>
          <w:b/>
          <w:sz w:val="20"/>
        </w:rPr>
        <w:t>Item 5. Other Information.</w:t>
      </w:r>
    </w:p>
    <w:p>
      <w:pPr>
        <w:pStyle w:val="TextBody"/>
        <w:pBdr/>
        <w:shd w:fill="FFFFFF" w:val="clea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Trading Arrangements</w:t>
      </w:r>
    </w:p>
    <w:p>
      <w:pPr>
        <w:pStyle w:val="TextBody"/>
        <w:pBdr/>
        <w:shd w:fill="FFFFFF" w:val="clear"/>
        <w:bidi w:val="0"/>
        <w:spacing w:before="0" w:after="0"/>
        <w:ind w:left="0" w:right="0" w:firstLine="720"/>
        <w:jc w:val="both"/>
        <w:rPr>
          <w:rFonts w:ascii="Times New Roman;Times;serif" w:hAnsi="Times New Roman;Times;serif"/>
          <w:sz w:val="24"/>
        </w:rPr>
      </w:pPr>
      <w:r>
        <w:rPr>
          <w:rFonts w:ascii="Arial;Helvetica;sans-serif" w:hAnsi="Arial;Helvetica;sans-serif"/>
          <w:sz w:val="20"/>
        </w:rPr>
        <w:t>During the quarter ended June 30, 2026, none of our directors or officers (as defined in Rule 16a-1(f) of the Exchange Act) adopted</w:t>
      </w:r>
      <w:r>
        <w:rPr>
          <w:rFonts w:ascii="Times New Roman;Times;serif" w:hAnsi="Times New Roman;Times;serif"/>
          <w:sz w:val="24"/>
        </w:rPr>
        <w:t xml:space="preserve"> </w:t>
      </w:r>
      <w:r>
        <w:rPr>
          <w:rFonts w:ascii="Arial;Helvetica;sans-serif" w:hAnsi="Arial;Helvetica;sans-serif"/>
          <w:sz w:val="20"/>
        </w:rPr>
        <w:t>or terminated</w:t>
      </w:r>
      <w:r>
        <w:rPr>
          <w:rFonts w:ascii="Times New Roman;Times;serif" w:hAnsi="Times New Roman;Times;serif"/>
          <w:sz w:val="24"/>
        </w:rPr>
        <w:t xml:space="preserve"> </w:t>
      </w:r>
      <w:r>
        <w:rPr>
          <w:rFonts w:ascii="Arial;Helvetica;sans-serif" w:hAnsi="Arial;Helvetica;sans-serif"/>
          <w:sz w:val="20"/>
        </w:rPr>
        <w:t>any contract, instruction or written plan for the purchase or sale of our securities that was intended to satisfy the affirmative defense conditions of Rule 10b5-1(c) of the Exchange Act or any non-Rule 10b5-1</w:t>
      </w:r>
      <w:r>
        <w:rPr>
          <w:rFonts w:ascii="Times New Roman;Times;serif" w:hAnsi="Times New Roman;Times;serif"/>
          <w:sz w:val="24"/>
        </w:rPr>
        <w:t xml:space="preserve"> </w:t>
      </w:r>
      <w:r>
        <w:rPr>
          <w:rFonts w:ascii="Arial;Helvetica;sans-serif" w:hAnsi="Arial;Helvetica;sans-serif"/>
          <w:sz w:val="20"/>
        </w:rPr>
        <w:t xml:space="preserve">trading arrangement (as defined in Item 408(c) of Regulation S-K). </w:t>
      </w:r>
    </w:p>
    <w:p>
      <w:pPr>
        <w:pStyle w:val="TextBody"/>
        <w:bidi w:val="0"/>
        <w:spacing w:before="28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shd w:fill="FFFFFF" w:val="clear"/>
        <w:bidi w:val="0"/>
        <w:spacing w:before="0" w:after="0"/>
        <w:ind w:left="0" w:right="0" w:hanging="0"/>
        <w:jc w:val="both"/>
        <w:rPr>
          <w:rFonts w:ascii="Arial;Helvetica;sans-serif" w:hAnsi="Arial;Helvetica;sans-serif"/>
          <w:b/>
          <w:sz w:val="20"/>
        </w:rPr>
      </w:pPr>
      <w:bookmarkStart w:id="1232" w:name="Item6Exhibits_177499"/>
      <w:bookmarkStart w:id="1233" w:name="_8e594bb1_4714_4456_b9a7_1a7228709dda"/>
      <w:bookmarkEnd w:id="1232"/>
      <w:bookmarkEnd w:id="1233"/>
      <w:r>
        <w:rPr>
          <w:rFonts w:ascii="Arial;Helvetica;sans-serif" w:hAnsi="Arial;Helvetica;sans-serif"/>
          <w:b/>
          <w:sz w:val="20"/>
        </w:rPr>
        <w:t>Item 6. Exhibits.</w:t>
      </w:r>
    </w:p>
    <w:p>
      <w:pPr>
        <w:pStyle w:val="TextBody"/>
        <w:pBdr/>
        <w:shd w:fill="FFFFFF" w:val="clear"/>
        <w:bidi w:val="0"/>
        <w:spacing w:before="0" w:after="0"/>
        <w:ind w:left="0" w:right="0" w:firstLine="720"/>
        <w:jc w:val="both"/>
        <w:rPr>
          <w:rFonts w:ascii="Arial;Helvetica;sans-serif" w:hAnsi="Arial;Helvetica;sans-serif"/>
          <w:sz w:val="20"/>
        </w:rPr>
      </w:pPr>
      <w:r>
        <w:rPr>
          <w:rFonts w:ascii="Arial;Helvetica;sans-serif" w:hAnsi="Arial;Helvetica;sans-serif"/>
          <w:sz w:val="20"/>
        </w:rPr>
        <w:t>The exhibits filed as part of this Quarterly Report on Form 10-Q are set forth on the Exhibit Index below.</w:t>
      </w:r>
    </w:p>
    <w:p>
      <w:pPr>
        <w:pStyle w:val="TextBody"/>
        <w:pBdr/>
        <w:shd w:fill="FFFFFF" w:val="clear"/>
        <w:bidi w:val="0"/>
        <w:spacing w:before="0" w:after="0"/>
        <w:ind w:left="0" w:right="0" w:firstLine="720"/>
        <w:jc w:val="both"/>
        <w:rPr/>
      </w:pPr>
      <w:r>
        <w:rPr/>
        <w:t>​</w:t>
      </w:r>
    </w:p>
    <w:p>
      <w:pPr>
        <w:pStyle w:val="TextBody"/>
        <w:shd w:fill="FFFFFF" w:val="clear"/>
        <w:bidi w:val="0"/>
        <w:spacing w:before="0" w:after="0"/>
        <w:ind w:left="0" w:right="0" w:hanging="0"/>
        <w:jc w:val="center"/>
        <w:rPr>
          <w:rFonts w:ascii="Arial;Helvetica;sans-serif" w:hAnsi="Arial;Helvetica;sans-serif"/>
          <w:b/>
          <w:sz w:val="18"/>
        </w:rPr>
      </w:pPr>
      <w:bookmarkStart w:id="1234" w:name="_1588d805_5bc9_4d3d_ad6c_6db7efefae6a"/>
      <w:bookmarkEnd w:id="1234"/>
      <w:r>
        <w:rPr>
          <w:rFonts w:ascii="Arial;Helvetica;sans-serif" w:hAnsi="Arial;Helvetica;sans-serif"/>
          <w:b/>
          <w:sz w:val="18"/>
        </w:rPr>
        <w:t>EXHIBIT INDEX</w:t>
      </w:r>
    </w:p>
    <w:tbl>
      <w:tblPr>
        <w:tblW w:w="10205" w:type="dxa"/>
        <w:jc w:val="left"/>
        <w:tblInd w:w="0" w:type="dxa"/>
        <w:tblLayout w:type="fixed"/>
        <w:tblCellMar>
          <w:top w:w="0" w:type="dxa"/>
          <w:left w:w="0" w:type="dxa"/>
          <w:bottom w:w="0" w:type="dxa"/>
          <w:right w:w="0" w:type="dxa"/>
        </w:tblCellMar>
      </w:tblPr>
      <w:tblGrid>
        <w:gridCol w:w="811"/>
        <w:gridCol w:w="109"/>
        <w:gridCol w:w="5554"/>
        <w:gridCol w:w="109"/>
        <w:gridCol w:w="556"/>
        <w:gridCol w:w="226"/>
        <w:gridCol w:w="675"/>
        <w:gridCol w:w="226"/>
        <w:gridCol w:w="796"/>
        <w:gridCol w:w="226"/>
        <w:gridCol w:w="917"/>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14985" cy="175260"/>
                      <wp:effectExtent l="0" t="0" r="0" b="0"/>
                      <wp:wrapNone/>
                      <wp:docPr id="351" name="Frame35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526790" cy="175260"/>
                      <wp:effectExtent l="0" t="0" r="0" b="0"/>
                      <wp:wrapNone/>
                      <wp:docPr id="353" name="Frame353"/>
                      <a:graphic xmlns:a="http://schemas.openxmlformats.org/drawingml/2006/main">
                        <a:graphicData uri="http://schemas.microsoft.com/office/word/2010/wordprocessingShape">
                          <wps:wsp>
                            <wps:cNvSpPr txBox="1"/>
                            <wps:spPr>
                              <a:xfrm>
                                <a:off x="0" y="0"/>
                                <a:ext cx="3526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54" name="Frame3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53060" cy="175260"/>
                      <wp:effectExtent l="0" t="0" r="0" b="0"/>
                      <wp:wrapNone/>
                      <wp:docPr id="355" name="Frame355"/>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43510" cy="175260"/>
                      <wp:effectExtent l="0" t="0" r="0" b="0"/>
                      <wp:wrapNone/>
                      <wp:docPr id="356" name="Frame3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28625" cy="175260"/>
                      <wp:effectExtent l="0" t="0" r="0" b="0"/>
                      <wp:wrapNone/>
                      <wp:docPr id="357" name="Frame357"/>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43510" cy="175260"/>
                      <wp:effectExtent l="0" t="0" r="0" b="0"/>
                      <wp:wrapNone/>
                      <wp:docPr id="358" name="Frame3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05460" cy="175260"/>
                      <wp:effectExtent l="0" t="0" r="0" b="0"/>
                      <wp:wrapNone/>
                      <wp:docPr id="359" name="Frame3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43510" cy="175260"/>
                      <wp:effectExtent l="0" t="0" r="0" b="0"/>
                      <wp:wrapNone/>
                      <wp:docPr id="360" name="Frame3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82295" cy="175260"/>
                      <wp:effectExtent l="0" t="0" r="0" b="0"/>
                      <wp:wrapNone/>
                      <wp:docPr id="361" name="Frame361"/>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Incorporated by Reference</w:t>
            </w:r>
          </w:p>
        </w:tc>
        <w:tc>
          <w:tcPr>
            <w:tcW w:w="22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Exhibit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Exhibit</w:t>
            </w:r>
          </w:p>
        </w:tc>
        <w:tc>
          <w:tcPr>
            <w:tcW w:w="226" w:type="dxa"/>
            <w:tcBorders/>
            <w:vAlign w:val="center"/>
          </w:tcPr>
          <w:p>
            <w:pPr>
              <w:pStyle w:val="TableContents"/>
              <w:bidi w:val="0"/>
              <w:spacing w:before="0" w:after="0"/>
              <w:ind w:left="0" w:right="0" w:hanging="0"/>
              <w:jc w:val="center"/>
              <w:rPr/>
            </w:pPr>
            <w:r>
              <w:rPr/>
              <w:t>  ​</w:t>
            </w:r>
          </w:p>
        </w:tc>
        <w:tc>
          <w:tcPr>
            <w:tcW w:w="917"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Filed</w:t>
            </w:r>
          </w:p>
        </w:tc>
      </w:tr>
      <w:tr>
        <w:trPr/>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Number</w:t>
            </w:r>
          </w:p>
        </w:tc>
        <w:tc>
          <w:tcPr>
            <w:tcW w:w="109" w:type="dxa"/>
            <w:tcBorders/>
            <w:vAlign w:val="center"/>
          </w:tcPr>
          <w:p>
            <w:pPr>
              <w:pStyle w:val="TableContents"/>
              <w:bidi w:val="0"/>
              <w:spacing w:before="0" w:after="0"/>
              <w:ind w:left="0" w:right="0" w:hanging="0"/>
              <w:jc w:val="left"/>
              <w:rPr/>
            </w:pPr>
            <w:r>
              <w:rPr/>
              <w:t>​</w:t>
            </w:r>
          </w:p>
        </w:tc>
        <w:tc>
          <w:tcPr>
            <w:tcW w:w="5554"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Description of Exhibit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Form</w:t>
            </w:r>
          </w:p>
        </w:tc>
        <w:tc>
          <w:tcPr>
            <w:tcW w:w="226" w:type="dxa"/>
            <w:tcBorders/>
            <w:vAlign w:val="center"/>
          </w:tcPr>
          <w:p>
            <w:pPr>
              <w:pStyle w:val="TableContents"/>
              <w:bidi w:val="0"/>
              <w:spacing w:before="0" w:after="0"/>
              <w:ind w:left="0" w:right="0" w:hanging="0"/>
              <w:jc w:val="center"/>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Date of Filing</w:t>
            </w:r>
          </w:p>
        </w:tc>
        <w:tc>
          <w:tcPr>
            <w:tcW w:w="2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Number</w:t>
            </w:r>
          </w:p>
        </w:tc>
        <w:tc>
          <w:tcPr>
            <w:tcW w:w="226" w:type="dxa"/>
            <w:tcBorders/>
            <w:vAlign w:val="center"/>
          </w:tcPr>
          <w:p>
            <w:pPr>
              <w:pStyle w:val="TableContents"/>
              <w:bidi w:val="0"/>
              <w:spacing w:before="0" w:after="0"/>
              <w:ind w:left="0" w:right="0" w:hanging="0"/>
              <w:jc w:val="center"/>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Herewith</w:t>
            </w:r>
          </w:p>
        </w:tc>
      </w:tr>
      <w:tr>
        <w:trPr/>
        <w:tc>
          <w:tcPr>
            <w:tcW w:w="8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3.1</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conformed version reflecting all amendments through May 6, 2026</w:t>
              </w:r>
            </w:hyperlink>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8-K</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05/07/2026</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3.2</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3.2</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effective December 19, 2022</w:t>
              </w:r>
            </w:hyperlink>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10-K</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02/21/2023</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3.2</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31.1</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hyperlink w:anchor="tcmd-20260630xex31d1.htm">
              <w:r>
                <w:rPr>
                  <w:rStyle w:val="InternetLink"/>
                  <w:rFonts w:ascii="Times New Roman;Times;serif" w:hAnsi="Times New Roman;Times;serif"/>
                  <w:b w:val="false"/>
                  <w:i w:val="false"/>
                  <w:caps w:val="false"/>
                  <w:smallCaps w:val="false"/>
                  <w:sz w:val="20"/>
                </w:rPr>
                <w:t>Certification of Principal Executive Officer pursuant to Rule 13a-14(a) / 15d-14(a) of the Securities Exchange Act of 1934, as amended</w:t>
              </w:r>
            </w:hyperlink>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31.2</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hyperlink w:anchor="tcmd-20260630xex31d2.htm">
              <w:r>
                <w:rPr>
                  <w:rStyle w:val="InternetLink"/>
                  <w:rFonts w:ascii="Times New Roman;Times;serif" w:hAnsi="Times New Roman;Times;serif"/>
                  <w:b w:val="false"/>
                  <w:i w:val="false"/>
                  <w:caps w:val="false"/>
                  <w:smallCaps w:val="false"/>
                  <w:sz w:val="20"/>
                </w:rPr>
                <w:t>Certification of Principal Financial Officer pursuant to Rule 13a-14(a) / 15d-14(a) of the Securities Exchange Act of 1934, as amended</w:t>
              </w:r>
            </w:hyperlink>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32.1</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hyperlink w:anchor="tcmd-20260630xex32d1.htm">
              <w:r>
                <w:rPr>
                  <w:rStyle w:val="InternetLink"/>
                  <w:rFonts w:ascii="Times New Roman;Times;serif" w:hAnsi="Times New Roman;Times;serif"/>
                  <w:b w:val="false"/>
                  <w:i w:val="false"/>
                  <w:caps w:val="false"/>
                  <w:smallCaps w:val="false"/>
                  <w:sz w:val="20"/>
                </w:rPr>
                <w:t>Certification of Principal Executive Officer pursuant to 18 U.S.C. §1350, as adopted pursuant to Section 906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32.2</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hyperlink w:anchor="tcmd-20260630xex32d2.htm">
              <w:r>
                <w:rPr>
                  <w:rStyle w:val="InternetLink"/>
                  <w:rFonts w:ascii="Times New Roman;Times;serif" w:hAnsi="Times New Roman;Times;serif"/>
                  <w:b w:val="false"/>
                  <w:i w:val="false"/>
                  <w:caps w:val="false"/>
                  <w:smallCaps w:val="false"/>
                  <w:sz w:val="20"/>
                </w:rPr>
                <w:t>Certification of Principal Financial Officer pursuant to 18 U.S.C. §1350, as adopted pursuant to Section 906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101.1</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for the following financial statements from the Company’s Quarterly Report on Form 10-Q for the quarter ended June 30, 2026: (i) Balance Sheets, (ii) Statements of Operations, (iii) Statements of Stockholders’ Equity, (iv) Statements of Cash Flows, and (v) Notes to the Condensed Consolidated Financial Statements; and for the information set forth in Part II, Item 5.</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104.1</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Cover page Interactive Data File (formatted as Inline XBRL and contained in Exhibit 101.1)</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7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bl>
    <w:p>
      <w:pPr>
        <w:pStyle w:val="TextBody"/>
        <w:shd w:fill="FFFFFF" w:val="clear"/>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36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shd w:fill="FFFFFF" w:val="clear"/>
        <w:bidi w:val="0"/>
        <w:spacing w:before="0" w:after="0"/>
        <w:ind w:left="0" w:right="0" w:hanging="0"/>
        <w:jc w:val="left"/>
        <w:rPr/>
      </w:pPr>
      <w:r>
        <w:rPr/>
        <w:t>​</w:t>
      </w:r>
    </w:p>
    <w:p>
      <w:pPr>
        <w:pStyle w:val="TextBody"/>
        <w:pBdr/>
        <w:shd w:fill="FFFFFF" w:val="clear"/>
        <w:bidi w:val="0"/>
        <w:spacing w:before="0" w:after="0"/>
        <w:ind w:left="0" w:right="0" w:hanging="0"/>
        <w:jc w:val="center"/>
        <w:rPr>
          <w:rFonts w:ascii="Arial;Helvetica;sans-serif" w:hAnsi="Arial;Helvetica;sans-serif"/>
          <w:b/>
          <w:sz w:val="20"/>
        </w:rPr>
      </w:pPr>
      <w:bookmarkStart w:id="1235" w:name="_4ef616f3_fdd6_4c2a_b778_810998e21202"/>
      <w:bookmarkEnd w:id="1235"/>
      <w:r>
        <w:rPr>
          <w:rFonts w:ascii="Arial;Helvetica;sans-serif" w:hAnsi="Arial;Helvetica;sans-serif"/>
          <w:b/>
          <w:sz w:val="20"/>
        </w:rPr>
        <w:t>SIGNATURES</w:t>
      </w:r>
    </w:p>
    <w:p>
      <w:pPr>
        <w:pStyle w:val="TextBody"/>
        <w:shd w:fill="FFFFFF" w:val="clear"/>
        <w:bidi w:val="0"/>
        <w:spacing w:before="0" w:after="240"/>
        <w:ind w:left="0" w:right="0" w:firstLine="72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tbl>
      <w:tblPr>
        <w:tblW w:w="6367" w:type="dxa"/>
        <w:jc w:val="left"/>
        <w:tblInd w:w="0" w:type="dxa"/>
        <w:tblLayout w:type="fixed"/>
        <w:tblCellMar>
          <w:top w:w="0" w:type="dxa"/>
          <w:left w:w="0" w:type="dxa"/>
          <w:bottom w:w="0" w:type="dxa"/>
          <w:right w:w="0" w:type="dxa"/>
        </w:tblCellMar>
      </w:tblPr>
      <w:tblGrid>
        <w:gridCol w:w="2071"/>
        <w:gridCol w:w="109"/>
        <w:gridCol w:w="406"/>
        <w:gridCol w:w="378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15085" cy="29210"/>
                      <wp:effectExtent l="0" t="0" r="0" b="0"/>
                      <wp:wrapNone/>
                      <wp:docPr id="362" name="Frame362"/>
                      <a:graphic xmlns:a="http://schemas.openxmlformats.org/drawingml/2006/main">
                        <a:graphicData uri="http://schemas.microsoft.com/office/word/2010/wordprocessingShape">
                          <wps:wsp>
                            <wps:cNvSpPr txBox="1"/>
                            <wps:spPr>
                              <a:xfrm>
                                <a:off x="0" y="0"/>
                                <a:ext cx="1315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57810" cy="29210"/>
                      <wp:effectExtent l="0" t="0" r="0" b="0"/>
                      <wp:wrapNone/>
                      <wp:docPr id="364" name="Frame364"/>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400935" cy="175260"/>
                      <wp:effectExtent l="0" t="0" r="0" b="0"/>
                      <wp:wrapNone/>
                      <wp:docPr id="365" name="Frame365"/>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shd w:fill="FFFFFF" w:val="clear"/>
              <w:bidi w:val="0"/>
              <w:spacing w:before="0" w:after="0"/>
              <w:ind w:left="0" w:right="0" w:hanging="0"/>
              <w:jc w:val="left"/>
              <w:rPr/>
            </w:pPr>
            <w:r>
              <w:rPr/>
              <w:t>​</w:t>
            </w:r>
          </w:p>
        </w:tc>
        <w:tc>
          <w:tcPr>
            <w:tcW w:w="4187" w:type="dxa"/>
            <w:gridSpan w:val="2"/>
            <w:tcBorders/>
            <w:vAlign w:val="center"/>
          </w:tcPr>
          <w:p>
            <w:pPr>
              <w:pStyle w:val="TableContents"/>
              <w:shd w:fill="FFFFFF" w:val="clear"/>
              <w:bidi w:val="0"/>
              <w:spacing w:before="0" w:after="0"/>
              <w:ind w:left="0" w:right="0" w:hanging="0"/>
              <w:jc w:val="left"/>
              <w:rPr>
                <w:rFonts w:ascii="Arial;Helvetica;sans-serif" w:hAnsi="Arial;Helvetica;sans-serif"/>
                <w:b/>
                <w:sz w:val="20"/>
              </w:rPr>
            </w:pPr>
            <w:r>
              <w:rPr>
                <w:rFonts w:ascii="Arial;Helvetica;sans-serif" w:hAnsi="Arial;Helvetica;sans-serif"/>
                <w:b/>
                <w:sz w:val="20"/>
              </w:rPr>
              <w:t>Tactile Systems Technology, Inc.</w:t>
            </w:r>
          </w:p>
        </w:tc>
      </w:tr>
      <w:tr>
        <w:trPr/>
        <w:tc>
          <w:tcPr>
            <w:tcW w:w="2071" w:type="dxa"/>
            <w:tcBorders/>
            <w:vAlign w:val="center"/>
          </w:tcPr>
          <w:p>
            <w:pPr>
              <w:pStyle w:val="TableContents"/>
              <w:shd w:fill="FFFFFF" w:val="clear"/>
              <w:bidi w:val="0"/>
              <w:spacing w:before="0" w:after="0"/>
              <w:ind w:left="0" w:right="0" w:hanging="0"/>
              <w:jc w:val="left"/>
              <w:rPr/>
            </w:pPr>
            <w:r>
              <w:rPr/>
              <w:t>​</w:t>
            </w:r>
          </w:p>
        </w:tc>
        <w:tc>
          <w:tcPr>
            <w:tcW w:w="109" w:type="dxa"/>
            <w:tcBorders/>
            <w:vAlign w:val="center"/>
          </w:tcPr>
          <w:p>
            <w:pPr>
              <w:pStyle w:val="TableContents"/>
              <w:shd w:fill="FFFFFF" w:val="clear"/>
              <w:bidi w:val="0"/>
              <w:spacing w:before="0" w:after="0"/>
              <w:ind w:left="0" w:right="0" w:hanging="0"/>
              <w:jc w:val="left"/>
              <w:rPr/>
            </w:pPr>
            <w:r>
              <w:rPr/>
              <w:t>​</w:t>
            </w:r>
          </w:p>
        </w:tc>
        <w:tc>
          <w:tcPr>
            <w:tcW w:w="4187" w:type="dxa"/>
            <w:gridSpan w:val="2"/>
            <w:tcBorders/>
            <w:vAlign w:val="center"/>
          </w:tcPr>
          <w:p>
            <w:pPr>
              <w:pStyle w:val="TableContents"/>
              <w:shd w:fill="FFFFFF" w:val="clear"/>
              <w:bidi w:val="0"/>
              <w:spacing w:before="0" w:after="0"/>
              <w:ind w:left="0" w:right="0" w:hanging="0"/>
              <w:jc w:val="left"/>
              <w:rPr/>
            </w:pPr>
            <w:r>
              <w:rPr/>
              <w:t>​</w:t>
            </w:r>
          </w:p>
        </w:tc>
      </w:tr>
      <w:tr>
        <w:trPr/>
        <w:tc>
          <w:tcPr>
            <w:tcW w:w="2071" w:type="dxa"/>
            <w:tcBorders/>
            <w:vAlign w:val="center"/>
          </w:tcPr>
          <w:p>
            <w:pPr>
              <w:pStyle w:val="TableContents"/>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10, 2026</w:t>
            </w:r>
          </w:p>
        </w:tc>
        <w:tc>
          <w:tcPr>
            <w:tcW w:w="109" w:type="dxa"/>
            <w:tcBorders/>
            <w:vAlign w:val="center"/>
          </w:tcPr>
          <w:p>
            <w:pPr>
              <w:pStyle w:val="TableContents"/>
              <w:shd w:fill="FFFFFF" w:val="clear"/>
              <w:bidi w:val="0"/>
              <w:spacing w:before="0" w:after="0"/>
              <w:ind w:left="0" w:right="0" w:hanging="0"/>
              <w:jc w:val="left"/>
              <w:rPr/>
            </w:pPr>
            <w:r>
              <w:rPr/>
              <w:t>​</w:t>
            </w:r>
          </w:p>
        </w:tc>
        <w:tc>
          <w:tcPr>
            <w:tcW w:w="406" w:type="dxa"/>
            <w:tcBorders/>
            <w:vAlign w:val="center"/>
          </w:tcPr>
          <w:p>
            <w:pPr>
              <w:pStyle w:val="TableContents"/>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781" w:type="dxa"/>
            <w:tcBorders>
              <w:bottom w:val="single" w:sz="2" w:space="0" w:color="000000"/>
            </w:tcBorders>
            <w:tcMar>
              <w:bottom w:w="28" w:type="dxa"/>
            </w:tcMar>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Arial;Helvetica;sans-serif" w:hAnsi="Arial;Helvetica;sans-serif"/>
                <w:sz w:val="20"/>
              </w:rPr>
              <w:t>/s/ </w:t>
            </w:r>
            <w:r>
              <w:rPr>
                <w:rFonts w:ascii="Arial;Helvetica;sans-serif" w:hAnsi="Arial;Helvetica;sans-serif"/>
                <w:i/>
                <w:sz w:val="20"/>
              </w:rPr>
              <w:t>Elaine M. Birkemeyer</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shd w:fill="FFFFFF" w:val="clear"/>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81" w:type="dxa"/>
            <w:tcBorders/>
            <w:vAlign w:val="center"/>
          </w:tcPr>
          <w:p>
            <w:pPr>
              <w:pStyle w:val="TableContents"/>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Elaine M. Birkemeyer</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shd w:fill="FFFFFF" w:val="clear"/>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81" w:type="dxa"/>
            <w:tcBorders/>
            <w:vAlign w:val="center"/>
          </w:tcPr>
          <w:p>
            <w:pPr>
              <w:pStyle w:val="TableContents"/>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shd w:fill="FFFFFF" w:val="clear"/>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81" w:type="dxa"/>
            <w:tcBorders/>
            <w:vAlign w:val="center"/>
          </w:tcPr>
          <w:p>
            <w:pPr>
              <w:pStyle w:val="TableContents"/>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lineRule="auto" w:line="16" w:before="0" w:after="0"/>
        <w:ind w:left="0" w:right="0" w:hanging="0"/>
        <w:jc w:val="left"/>
        <w:rPr/>
      </w:pPr>
      <w:bookmarkStart w:id="1236" w:name="tcmd-20260630xex31d1.htm"/>
      <w:bookmarkStart w:id="1237" w:name="kstcmd20260630xex31d1"/>
      <w:bookmarkEnd w:id="1236"/>
      <w:bookmarkEnd w:id="1237"/>
      <w:r>
        <w:rPr/>
        <w:t>​</w:t>
      </w:r>
      <w:r>
        <w:br w:type="page"/>
      </w:r>
    </w:p>
    <w:p>
      <w:pPr>
        <w:pStyle w:val="TextBody"/>
        <w:bidi w:val="0"/>
        <w:spacing w:before="6" w:after="0"/>
        <w:ind w:left="0" w:right="0" w:hanging="0"/>
        <w:jc w:val="right"/>
        <w:rPr>
          <w:rFonts w:ascii="Arial;Helvetica;sans-serif" w:hAnsi="Arial;Helvetica;sans-serif"/>
          <w:b/>
          <w:sz w:val="20"/>
        </w:rPr>
      </w:pPr>
      <w:r>
        <w:rPr>
          <w:rFonts w:ascii="Arial;Helvetica;sans-serif" w:hAnsi="Arial;Helvetica;sans-serif"/>
          <w:b/>
          <w:sz w:val="20"/>
        </w:rPr>
        <w:t>Exhibit 31.1</w:t>
      </w:r>
    </w:p>
    <w:p>
      <w:pPr>
        <w:pStyle w:val="TextBody"/>
        <w:bidi w:val="0"/>
        <w:spacing w:before="6" w:after="0"/>
        <w:ind w:left="0" w:right="0" w:hanging="0"/>
        <w:jc w:val="right"/>
        <w:rPr/>
      </w:pPr>
      <w:r>
        <w:rPr/>
        <w:t>​</w:t>
      </w:r>
    </w:p>
    <w:p>
      <w:pPr>
        <w:pStyle w:val="TextBody"/>
        <w:bidi w:val="0"/>
        <w:spacing w:before="75" w:after="0"/>
        <w:ind w:left="0" w:right="0" w:hanging="0"/>
        <w:jc w:val="center"/>
        <w:rPr>
          <w:rFonts w:ascii="Times New Roman;Times;serif" w:hAnsi="Times New Roman;Times;serif"/>
          <w:b/>
          <w:sz w:val="19"/>
        </w:rPr>
      </w:pPr>
      <w:r>
        <w:rPr>
          <w:rFonts w:ascii="Arial;Helvetica;sans-serif" w:hAnsi="Arial;Helvetica;sans-serif"/>
          <w:b/>
          <w:sz w:val="20"/>
        </w:rPr>
        <w:t>CERTIFICATION</w:t>
      </w:r>
      <w:r>
        <w:rPr>
          <w:rFonts w:ascii="Times New Roman;Times;serif" w:hAnsi="Times New Roman;Times;serif"/>
          <w:b/>
          <w:spacing w:val="46"/>
          <w:sz w:val="19"/>
        </w:rPr>
        <w:t xml:space="preserve"> </w:t>
      </w:r>
      <w:r>
        <w:rPr>
          <w:rFonts w:ascii="Arial;Helvetica;sans-serif" w:hAnsi="Arial;Helvetica;sans-serif"/>
          <w:b/>
          <w:sz w:val="20"/>
        </w:rPr>
        <w:t>PURSUANT TO</w:t>
      </w:r>
      <w:r>
        <w:rPr>
          <w:rFonts w:ascii="Times New Roman;Times;serif" w:hAnsi="Times New Roman;Times;serif"/>
          <w:b/>
          <w:spacing w:val="19"/>
          <w:sz w:val="19"/>
        </w:rPr>
        <w:t xml:space="preserve"> </w:t>
      </w:r>
      <w:r>
        <w:rPr>
          <w:rFonts w:ascii="Arial;Helvetica;sans-serif" w:hAnsi="Arial;Helvetica;sans-serif"/>
          <w:b/>
          <w:sz w:val="20"/>
        </w:rPr>
        <w:t>RULE</w:t>
      </w:r>
      <w:r>
        <w:rPr>
          <w:rFonts w:ascii="Times New Roman;Times;serif" w:hAnsi="Times New Roman;Times;serif"/>
          <w:b/>
          <w:spacing w:val="36"/>
          <w:sz w:val="19"/>
        </w:rPr>
        <w:t xml:space="preserve"> </w:t>
      </w:r>
      <w:r>
        <w:rPr>
          <w:rFonts w:ascii="Arial;Helvetica;sans-serif" w:hAnsi="Arial;Helvetica;sans-serif"/>
          <w:b/>
          <w:sz w:val="20"/>
        </w:rPr>
        <w:t>13a-14(a)/15d-14(a) OF</w:t>
      </w:r>
      <w:r>
        <w:rPr>
          <w:rFonts w:ascii="Times New Roman;Times;serif" w:hAnsi="Times New Roman;Times;serif"/>
          <w:b/>
          <w:spacing w:val="18"/>
          <w:sz w:val="19"/>
        </w:rPr>
        <w:t xml:space="preserve"> </w:t>
      </w:r>
      <w:r>
        <w:rPr>
          <w:rFonts w:ascii="Arial;Helvetica;sans-serif" w:hAnsi="Arial;Helvetica;sans-serif"/>
          <w:b/>
          <w:sz w:val="20"/>
        </w:rPr>
        <w:t>THE</w:t>
      </w:r>
      <w:r>
        <w:rPr>
          <w:rFonts w:ascii="Times New Roman;Times;serif" w:hAnsi="Times New Roman;Times;serif"/>
          <w:b/>
          <w:spacing w:val="25"/>
          <w:sz w:val="19"/>
        </w:rPr>
        <w:t xml:space="preserve"> </w:t>
      </w:r>
      <w:r>
        <w:rPr>
          <w:rFonts w:ascii="Arial;Helvetica;sans-serif" w:hAnsi="Arial;Helvetica;sans-serif"/>
          <w:b/>
          <w:sz w:val="20"/>
        </w:rPr>
        <w:t>SECURITIES</w:t>
      </w:r>
      <w:r>
        <w:rPr>
          <w:rFonts w:ascii="Times New Roman;Times;serif" w:hAnsi="Times New Roman;Times;serif"/>
          <w:b/>
          <w:spacing w:val="45"/>
          <w:sz w:val="19"/>
        </w:rPr>
        <w:t xml:space="preserve"> </w:t>
      </w:r>
      <w:r>
        <w:rPr>
          <w:rFonts w:ascii="Arial;Helvetica;sans-serif" w:hAnsi="Arial;Helvetica;sans-serif"/>
          <w:b/>
          <w:sz w:val="20"/>
        </w:rPr>
        <w:t>EXCHANGE</w:t>
      </w:r>
      <w:r>
        <w:rPr>
          <w:rFonts w:ascii="Times New Roman;Times;serif" w:hAnsi="Times New Roman;Times;serif"/>
          <w:b/>
          <w:spacing w:val="36"/>
          <w:sz w:val="19"/>
        </w:rPr>
        <w:t xml:space="preserve"> </w:t>
      </w:r>
      <w:r>
        <w:rPr>
          <w:rFonts w:ascii="Arial;Helvetica;sans-serif" w:hAnsi="Arial;Helvetica;sans-serif"/>
          <w:b/>
          <w:sz w:val="20"/>
        </w:rPr>
        <w:t>ACT OF</w:t>
      </w:r>
      <w:r>
        <w:rPr>
          <w:rFonts w:ascii="Times New Roman;Times;serif" w:hAnsi="Times New Roman;Times;serif"/>
          <w:b/>
          <w:spacing w:val="15"/>
          <w:sz w:val="19"/>
        </w:rPr>
        <w:t> </w:t>
      </w:r>
      <w:r>
        <w:rPr>
          <w:rFonts w:ascii="Arial;Helvetica;sans-serif" w:hAnsi="Arial;Helvetica;sans-serif"/>
          <w:b/>
          <w:sz w:val="20"/>
        </w:rPr>
        <w:t>1934,</w:t>
      </w:r>
      <w:r>
        <w:rPr>
          <w:rFonts w:ascii="Times New Roman;Times;serif" w:hAnsi="Times New Roman;Times;serif"/>
          <w:b/>
          <w:spacing w:val="4"/>
          <w:sz w:val="19"/>
        </w:rPr>
        <w:t xml:space="preserve"> </w:t>
      </w:r>
      <w:r>
        <w:rPr>
          <w:rFonts w:ascii="Arial;Helvetica;sans-serif" w:hAnsi="Arial;Helvetica;sans-serif"/>
          <w:b/>
          <w:sz w:val="20"/>
        </w:rPr>
        <w:t>AS</w:t>
      </w:r>
      <w:r>
        <w:rPr>
          <w:rFonts w:ascii="Times New Roman;Times;serif" w:hAnsi="Times New Roman;Times;serif"/>
          <w:b/>
          <w:spacing w:val="22"/>
          <w:sz w:val="19"/>
        </w:rPr>
        <w:t xml:space="preserve"> </w:t>
      </w:r>
      <w:r>
        <w:rPr>
          <w:rFonts w:ascii="Arial;Helvetica;sans-serif" w:hAnsi="Arial;Helvetica;sans-serif"/>
          <w:b/>
          <w:sz w:val="20"/>
        </w:rPr>
        <w:t>ADOPTED</w:t>
      </w:r>
      <w:r>
        <w:rPr>
          <w:rFonts w:ascii="Times New Roman;Times;serif" w:hAnsi="Times New Roman;Times;serif"/>
          <w:b/>
          <w:spacing w:val="32"/>
          <w:sz w:val="19"/>
        </w:rPr>
        <w:t xml:space="preserve"> </w:t>
      </w:r>
      <w:r>
        <w:rPr>
          <w:rFonts w:ascii="Arial;Helvetica;sans-serif" w:hAnsi="Arial;Helvetica;sans-serif"/>
          <w:b/>
          <w:sz w:val="20"/>
        </w:rPr>
        <w:t>PURSUANT</w:t>
      </w:r>
      <w:r>
        <w:rPr>
          <w:rFonts w:ascii="Times New Roman;Times;serif" w:hAnsi="Times New Roman;Times;serif"/>
          <w:b/>
          <w:spacing w:val="33"/>
          <w:sz w:val="19"/>
        </w:rPr>
        <w:t xml:space="preserve"> </w:t>
      </w:r>
      <w:r>
        <w:rPr>
          <w:rFonts w:ascii="Arial;Helvetica;sans-serif" w:hAnsi="Arial;Helvetica;sans-serif"/>
          <w:b/>
          <w:sz w:val="20"/>
        </w:rPr>
        <w:t>TO</w:t>
      </w:r>
      <w:r>
        <w:rPr>
          <w:rFonts w:ascii="Times New Roman;Times;serif" w:hAnsi="Times New Roman;Times;serif"/>
          <w:b/>
          <w:spacing w:val="17"/>
          <w:sz w:val="19"/>
        </w:rPr>
        <w:t xml:space="preserve"> </w:t>
      </w:r>
      <w:r>
        <w:rPr>
          <w:rFonts w:ascii="Arial;Helvetica;sans-serif" w:hAnsi="Arial;Helvetica;sans-serif"/>
          <w:b/>
          <w:sz w:val="20"/>
        </w:rPr>
        <w:t>SECTION</w:t>
      </w:r>
      <w:r>
        <w:rPr>
          <w:rFonts w:ascii="Times New Roman;Times;serif" w:hAnsi="Times New Roman;Times;serif"/>
          <w:b/>
          <w:spacing w:val="15"/>
          <w:sz w:val="19"/>
        </w:rPr>
        <w:t xml:space="preserve"> </w:t>
      </w:r>
      <w:r>
        <w:rPr>
          <w:rFonts w:ascii="Arial;Helvetica;sans-serif" w:hAnsi="Arial;Helvetica;sans-serif"/>
          <w:b/>
          <w:sz w:val="20"/>
        </w:rPr>
        <w:t>302</w:t>
      </w:r>
      <w:r>
        <w:rPr>
          <w:rFonts w:ascii="Times New Roman;Times;serif" w:hAnsi="Times New Roman;Times;serif"/>
          <w:b/>
          <w:spacing w:val="23"/>
          <w:sz w:val="19"/>
        </w:rPr>
        <w:t xml:space="preserve"> </w:t>
      </w:r>
      <w:r>
        <w:rPr>
          <w:rFonts w:ascii="Arial;Helvetica;sans-serif" w:hAnsi="Arial;Helvetica;sans-serif"/>
          <w:b/>
          <w:sz w:val="20"/>
        </w:rPr>
        <w:t>OF</w:t>
      </w:r>
      <w:r>
        <w:rPr>
          <w:rFonts w:ascii="Times New Roman;Times;serif" w:hAnsi="Times New Roman;Times;serif"/>
          <w:b/>
          <w:spacing w:val="11"/>
          <w:sz w:val="19"/>
        </w:rPr>
        <w:t xml:space="preserve"> </w:t>
      </w:r>
      <w:r>
        <w:rPr>
          <w:rFonts w:ascii="Arial;Helvetica;sans-serif" w:hAnsi="Arial;Helvetica;sans-serif"/>
          <w:b/>
          <w:sz w:val="20"/>
        </w:rPr>
        <w:t>THE</w:t>
      </w:r>
      <w:r>
        <w:rPr>
          <w:rFonts w:ascii="Times New Roman;Times;serif" w:hAnsi="Times New Roman;Times;serif"/>
          <w:b/>
          <w:spacing w:val="18"/>
          <w:sz w:val="19"/>
        </w:rPr>
        <w:t xml:space="preserve"> </w:t>
      </w:r>
      <w:r>
        <w:rPr>
          <w:rFonts w:ascii="Arial;Helvetica;sans-serif" w:hAnsi="Arial;Helvetica;sans-serif"/>
          <w:b/>
          <w:sz w:val="20"/>
        </w:rPr>
        <w:t>SARBANES-OXLEY ACT</w:t>
      </w:r>
      <w:r>
        <w:rPr>
          <w:rFonts w:ascii="Times New Roman;Times;serif" w:hAnsi="Times New Roman;Times;serif"/>
          <w:b/>
          <w:spacing w:val="26"/>
          <w:sz w:val="19"/>
        </w:rPr>
        <w:t> </w:t>
      </w:r>
      <w:r>
        <w:rPr>
          <w:rFonts w:ascii="Arial;Helvetica;sans-serif" w:hAnsi="Arial;Helvetica;sans-serif"/>
          <w:b/>
          <w:sz w:val="20"/>
        </w:rPr>
        <w:t>OF</w:t>
      </w:r>
      <w:r>
        <w:rPr>
          <w:rFonts w:ascii="Times New Roman;Times;serif" w:hAnsi="Times New Roman;Times;serif"/>
          <w:b/>
          <w:spacing w:val="16"/>
          <w:sz w:val="19"/>
        </w:rPr>
        <w:t xml:space="preserve"> </w:t>
      </w:r>
      <w:r>
        <w:rPr>
          <w:rFonts w:ascii="Arial;Helvetica;sans-serif" w:hAnsi="Arial;Helvetica;sans-serif"/>
          <w:b/>
          <w:sz w:val="20"/>
        </w:rPr>
        <w:t>2002</w:t>
      </w:r>
    </w:p>
    <w:p>
      <w:pPr>
        <w:pStyle w:val="TextBody"/>
        <w:bidi w:val="0"/>
        <w:spacing w:before="10" w:after="0"/>
        <w:ind w:left="0" w:right="0" w:hanging="0"/>
        <w:jc w:val="left"/>
        <w:rPr/>
      </w:pPr>
      <w:r>
        <w:rPr/>
        <w:t>​</w:t>
      </w:r>
    </w:p>
    <w:p>
      <w:pPr>
        <w:pStyle w:val="TextBody"/>
        <w:bidi w:val="0"/>
        <w:spacing w:before="0" w:after="240"/>
        <w:ind w:left="0" w:right="0" w:hanging="0"/>
        <w:jc w:val="left"/>
        <w:rPr>
          <w:rFonts w:ascii="Times New Roman;Times;serif" w:hAnsi="Times New Roman;Times;serif"/>
          <w:sz w:val="19"/>
        </w:rPr>
      </w:pPr>
      <w:r>
        <w:rPr>
          <w:rFonts w:ascii="Arial;Helvetica;sans-serif" w:hAnsi="Arial;Helvetica;sans-serif"/>
          <w:sz w:val="20"/>
        </w:rPr>
        <w:t>I,</w:t>
      </w:r>
      <w:r>
        <w:rPr>
          <w:rFonts w:ascii="Times New Roman;Times;serif" w:hAnsi="Times New Roman;Times;serif"/>
          <w:spacing w:val="-7"/>
          <w:sz w:val="19"/>
        </w:rPr>
        <w:t xml:space="preserve"> </w:t>
      </w:r>
      <w:r>
        <w:rPr>
          <w:rFonts w:ascii="Arial;Helvetica;sans-serif" w:hAnsi="Arial;Helvetica;sans-serif"/>
          <w:sz w:val="20"/>
        </w:rPr>
        <w:t>Sheri L. Dodd,</w:t>
      </w:r>
      <w:r>
        <w:rPr>
          <w:rFonts w:ascii="Times New Roman;Times;serif" w:hAnsi="Times New Roman;Times;serif"/>
          <w:spacing w:val="6"/>
          <w:sz w:val="19"/>
        </w:rPr>
        <w:t xml:space="preserve"> </w:t>
      </w:r>
      <w:r>
        <w:rPr>
          <w:rFonts w:ascii="Arial;Helvetica;sans-serif" w:hAnsi="Arial;Helvetica;sans-serif"/>
          <w:spacing w:val="6"/>
          <w:sz w:val="20"/>
        </w:rPr>
        <w:t xml:space="preserve">certify </w:t>
      </w:r>
      <w:r>
        <w:rPr>
          <w:rFonts w:ascii="Arial;Helvetica;sans-serif" w:hAnsi="Arial;Helvetica;sans-serif"/>
          <w:sz w:val="20"/>
        </w:rPr>
        <w:t>that:</w:t>
      </w:r>
    </w:p>
    <w:tbl>
      <w:tblPr>
        <w:tblW w:w="7998" w:type="dxa"/>
        <w:jc w:val="left"/>
        <w:tblInd w:w="0" w:type="dxa"/>
        <w:tblLayout w:type="fixed"/>
        <w:tblCellMar>
          <w:top w:w="0" w:type="dxa"/>
          <w:left w:w="0" w:type="dxa"/>
          <w:bottom w:w="0" w:type="dxa"/>
          <w:right w:w="0" w:type="dxa"/>
        </w:tblCellMar>
      </w:tblPr>
      <w:tblGrid>
        <w:gridCol w:w="23"/>
        <w:gridCol w:w="185"/>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7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have reviewed this Quarterly Report on Form 10-Q of Tactile Systems Technology, Inc.;</w:t>
            </w:r>
          </w:p>
        </w:tc>
      </w:tr>
    </w:tbl>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3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3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3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100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2285" w:type="dxa"/>
        <w:jc w:val="left"/>
        <w:tblInd w:w="0" w:type="dxa"/>
        <w:tblLayout w:type="fixed"/>
        <w:tblCellMar>
          <w:top w:w="0" w:type="dxa"/>
          <w:left w:w="0" w:type="dxa"/>
          <w:bottom w:w="0" w:type="dxa"/>
          <w:right w:w="0" w:type="dxa"/>
        </w:tblCellMar>
      </w:tblPr>
      <w:tblGrid>
        <w:gridCol w:w="124"/>
        <w:gridCol w:w="2161"/>
      </w:tblGrid>
      <w:tr>
        <w:trPr/>
        <w:tc>
          <w:tcPr>
            <w:tcW w:w="12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i/>
                <w:sz w:val="20"/>
              </w:rPr>
              <w:t>/s/</w:t>
            </w:r>
            <w:r>
              <w:rPr>
                <w:rFonts w:ascii="Times New Roman;Times;serif" w:hAnsi="Times New Roman;Times;serif"/>
                <w:spacing w:val="25"/>
                <w:sz w:val="20"/>
              </w:rPr>
              <w:t xml:space="preserve"> </w:t>
            </w:r>
            <w:r>
              <w:rPr>
                <w:rFonts w:ascii="Arial;Helvetica;sans-serif" w:hAnsi="Arial;Helvetica;sans-serif"/>
                <w:i/>
                <w:sz w:val="20"/>
              </w:rPr>
              <w:t>Sheri L.</w:t>
            </w:r>
            <w:r>
              <w:rPr>
                <w:rFonts w:ascii="Times New Roman;Times;serif" w:hAnsi="Times New Roman;Times;serif"/>
                <w:spacing w:val="10"/>
                <w:sz w:val="20"/>
              </w:rPr>
              <w:t xml:space="preserve"> </w:t>
            </w:r>
            <w:r>
              <w:rPr>
                <w:rFonts w:ascii="Arial;Helvetica;sans-serif" w:hAnsi="Arial;Helvetica;sans-serif"/>
                <w:i/>
                <w:spacing w:val="10"/>
                <w:sz w:val="20"/>
              </w:rPr>
              <w:t>Dodd</w:t>
            </w:r>
            <w:r>
              <w:rPr>
                <w:rFonts w:ascii="Times New Roman;Times;serif" w:hAnsi="Times New Roman;Times;serif"/>
                <w:sz w:val="20"/>
              </w:rPr>
              <w:t xml:space="preserve"> </w:t>
            </w:r>
          </w:p>
        </w:tc>
      </w:tr>
      <w:tr>
        <w:trPr/>
        <w:tc>
          <w:tcPr>
            <w:tcW w:w="124" w:type="dxa"/>
            <w:tcBorders/>
            <w:vAlign w:val="center"/>
          </w:tcPr>
          <w:p>
            <w:pPr>
              <w:pStyle w:val="TableContents"/>
              <w:bidi w:val="0"/>
              <w:spacing w:before="0" w:after="0"/>
              <w:ind w:left="0" w:right="0" w:hanging="0"/>
              <w:jc w:val="left"/>
              <w:rPr/>
            </w:pPr>
            <w:r>
              <w:rPr/>
              <w:t>​</w:t>
            </w:r>
          </w:p>
        </w:tc>
        <w:tc>
          <w:tcPr>
            <w:tcW w:w="216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Sheri L. Dodd</w:t>
            </w:r>
          </w:p>
        </w:tc>
      </w:tr>
      <w:tr>
        <w:trPr/>
        <w:tc>
          <w:tcPr>
            <w:tcW w:w="124" w:type="dxa"/>
            <w:tcBorders/>
            <w:vAlign w:val="center"/>
          </w:tcPr>
          <w:p>
            <w:pPr>
              <w:pStyle w:val="TableContents"/>
              <w:bidi w:val="0"/>
              <w:spacing w:before="2" w:after="0"/>
              <w:ind w:left="0" w:right="0" w:hanging="0"/>
              <w:jc w:val="left"/>
              <w:rPr/>
            </w:pPr>
            <w:r>
              <w:rPr/>
              <w:t>​</w:t>
            </w:r>
          </w:p>
        </w:tc>
        <w:tc>
          <w:tcPr>
            <w:tcW w:w="2161" w:type="dxa"/>
            <w:tcBorders/>
            <w:vAlign w:val="center"/>
          </w:tcPr>
          <w:p>
            <w:pPr>
              <w:pStyle w:val="TableContents"/>
              <w:bidi w:val="0"/>
              <w:spacing w:before="2" w:after="0"/>
              <w:ind w:left="0" w:right="0" w:hanging="0"/>
              <w:jc w:val="left"/>
              <w:rPr>
                <w:rFonts w:ascii="Times New Roman;Times;serif" w:hAnsi="Times New Roman;Times;serif"/>
                <w:sz w:val="20"/>
              </w:rPr>
            </w:pPr>
            <w:r>
              <w:rPr>
                <w:rFonts w:ascii="Arial;Helvetica;sans-serif" w:hAnsi="Arial;Helvetica;sans-serif"/>
                <w:i/>
                <w:sz w:val="20"/>
              </w:rPr>
              <w:t>Chief</w:t>
            </w:r>
            <w:r>
              <w:rPr>
                <w:rFonts w:ascii="Times New Roman;Times;serif" w:hAnsi="Times New Roman;Times;serif"/>
                <w:spacing w:val="1"/>
                <w:sz w:val="20"/>
              </w:rPr>
              <w:t xml:space="preserve"> </w:t>
            </w:r>
            <w:r>
              <w:rPr>
                <w:rFonts w:ascii="Arial;Helvetica;sans-serif" w:hAnsi="Arial;Helvetica;sans-serif"/>
                <w:i/>
                <w:sz w:val="20"/>
              </w:rPr>
              <w:t>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10, 2026</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bookmarkStart w:id="1238" w:name="tcmd-20260630xex31d2.htm"/>
      <w:bookmarkStart w:id="1239" w:name="kstcmd20260630xex31d2"/>
      <w:bookmarkEnd w:id="1238"/>
      <w:bookmarkEnd w:id="1239"/>
      <w:r>
        <w:rPr/>
        <w:t>​</w:t>
      </w:r>
      <w:r>
        <w:br w:type="page"/>
      </w:r>
    </w:p>
    <w:p>
      <w:pPr>
        <w:pStyle w:val="TextBody"/>
        <w:bidi w:val="0"/>
        <w:spacing w:before="6" w:after="0"/>
        <w:ind w:left="0" w:right="0" w:hanging="0"/>
        <w:jc w:val="right"/>
        <w:rPr>
          <w:rFonts w:ascii="Arial;Helvetica;sans-serif" w:hAnsi="Arial;Helvetica;sans-serif"/>
          <w:b/>
          <w:sz w:val="20"/>
        </w:rPr>
      </w:pPr>
      <w:r>
        <w:rPr>
          <w:rFonts w:ascii="Arial;Helvetica;sans-serif" w:hAnsi="Arial;Helvetica;sans-serif"/>
          <w:b/>
          <w:sz w:val="20"/>
        </w:rPr>
        <w:t>Exhibit 31.2</w:t>
      </w:r>
    </w:p>
    <w:p>
      <w:pPr>
        <w:pStyle w:val="TextBody"/>
        <w:bidi w:val="0"/>
        <w:spacing w:before="7" w:after="0"/>
        <w:ind w:left="0" w:right="0" w:hanging="0"/>
        <w:jc w:val="right"/>
        <w:rPr/>
      </w:pPr>
      <w:r>
        <w:rPr/>
        <w:t>​</w:t>
      </w:r>
    </w:p>
    <w:p>
      <w:pPr>
        <w:pStyle w:val="TextBody"/>
        <w:bidi w:val="0"/>
        <w:spacing w:before="7" w:after="0"/>
        <w:ind w:left="0" w:right="0" w:hanging="0"/>
        <w:jc w:val="center"/>
        <w:rPr>
          <w:rFonts w:ascii="Times New Roman;Times;serif" w:hAnsi="Times New Roman;Times;serif"/>
          <w:sz w:val="20"/>
        </w:rPr>
      </w:pPr>
      <w:r>
        <w:rPr>
          <w:rFonts w:ascii="Arial;Helvetica;sans-serif" w:hAnsi="Arial;Helvetica;sans-serif"/>
          <w:b/>
          <w:sz w:val="20"/>
        </w:rPr>
        <w:t>CERTIFICATION</w:t>
      </w:r>
      <w:r>
        <w:rPr>
          <w:rFonts w:ascii="Times New Roman;Times;serif" w:hAnsi="Times New Roman;Times;serif"/>
          <w:spacing w:val="43"/>
          <w:sz w:val="20"/>
        </w:rPr>
        <w:t xml:space="preserve"> </w:t>
      </w:r>
      <w:r>
        <w:rPr>
          <w:rFonts w:ascii="Arial;Helvetica;sans-serif" w:hAnsi="Arial;Helvetica;sans-serif"/>
          <w:b/>
          <w:sz w:val="20"/>
        </w:rPr>
        <w:t>PURSUANT</w:t>
      </w:r>
      <w:r>
        <w:rPr>
          <w:rFonts w:ascii="Times New Roman;Times;serif" w:hAnsi="Times New Roman;Times;serif"/>
          <w:spacing w:val="2"/>
          <w:sz w:val="20"/>
        </w:rPr>
        <w:t xml:space="preserve"> </w:t>
      </w:r>
      <w:r>
        <w:rPr>
          <w:rFonts w:ascii="Arial;Helvetica;sans-serif" w:hAnsi="Arial;Helvetica;sans-serif"/>
          <w:b/>
          <w:sz w:val="20"/>
        </w:rPr>
        <w:t>TO</w:t>
      </w:r>
      <w:r>
        <w:rPr>
          <w:rFonts w:ascii="Times New Roman;Times;serif" w:hAnsi="Times New Roman;Times;serif"/>
          <w:spacing w:val="15"/>
          <w:sz w:val="20"/>
        </w:rPr>
        <w:t xml:space="preserve"> </w:t>
      </w:r>
      <w:r>
        <w:rPr>
          <w:rFonts w:ascii="Arial;Helvetica;sans-serif" w:hAnsi="Arial;Helvetica;sans-serif"/>
          <w:b/>
          <w:sz w:val="20"/>
        </w:rPr>
        <w:t>RULE</w:t>
      </w:r>
      <w:r>
        <w:rPr>
          <w:rFonts w:ascii="Times New Roman;Times;serif" w:hAnsi="Times New Roman;Times;serif"/>
          <w:spacing w:val="40"/>
          <w:sz w:val="20"/>
        </w:rPr>
        <w:t xml:space="preserve"> </w:t>
      </w:r>
      <w:r>
        <w:rPr>
          <w:rFonts w:ascii="Arial;Helvetica;sans-serif" w:hAnsi="Arial;Helvetica;sans-serif"/>
          <w:b/>
          <w:sz w:val="20"/>
        </w:rPr>
        <w:t>13a-14(a)/15d-14(a)</w:t>
      </w:r>
      <w:r>
        <w:rPr>
          <w:rFonts w:ascii="Times New Roman;Times;serif" w:hAnsi="Times New Roman;Times;serif"/>
          <w:spacing w:val="3"/>
          <w:sz w:val="20"/>
        </w:rPr>
        <w:t xml:space="preserve"> </w:t>
      </w:r>
      <w:r>
        <w:rPr>
          <w:rFonts w:ascii="Arial;Helvetica;sans-serif" w:hAnsi="Arial;Helvetica;sans-serif"/>
          <w:b/>
          <w:sz w:val="20"/>
        </w:rPr>
        <w:t>OF</w:t>
      </w:r>
      <w:r>
        <w:rPr>
          <w:rFonts w:ascii="Times New Roman;Times;serif" w:hAnsi="Times New Roman;Times;serif"/>
          <w:spacing w:val="19"/>
          <w:sz w:val="20"/>
        </w:rPr>
        <w:t xml:space="preserve"> </w:t>
      </w:r>
      <w:r>
        <w:rPr>
          <w:rFonts w:ascii="Arial;Helvetica;sans-serif" w:hAnsi="Arial;Helvetica;sans-serif"/>
          <w:b/>
          <w:sz w:val="20"/>
        </w:rPr>
        <w:t>THE</w:t>
      </w:r>
      <w:r>
        <w:rPr>
          <w:rFonts w:ascii="Times New Roman;Times;serif" w:hAnsi="Times New Roman;Times;serif"/>
          <w:spacing w:val="30"/>
          <w:sz w:val="20"/>
        </w:rPr>
        <w:t xml:space="preserve"> </w:t>
      </w:r>
      <w:r>
        <w:rPr>
          <w:rFonts w:ascii="Arial;Helvetica;sans-serif" w:hAnsi="Arial;Helvetica;sans-serif"/>
          <w:b/>
          <w:sz w:val="20"/>
        </w:rPr>
        <w:t>SECURITIES</w:t>
      </w:r>
      <w:r>
        <w:rPr>
          <w:rFonts w:ascii="Times New Roman;Times;serif" w:hAnsi="Times New Roman;Times;serif"/>
          <w:spacing w:val="43"/>
          <w:sz w:val="20"/>
        </w:rPr>
        <w:t xml:space="preserve"> </w:t>
      </w:r>
      <w:r>
        <w:rPr>
          <w:rFonts w:ascii="Arial;Helvetica;sans-serif" w:hAnsi="Arial;Helvetica;sans-serif"/>
          <w:b/>
          <w:sz w:val="20"/>
        </w:rPr>
        <w:t>EXCHANGE</w:t>
      </w:r>
      <w:r>
        <w:rPr>
          <w:rFonts w:ascii="Times New Roman;Times;serif" w:hAnsi="Times New Roman;Times;serif"/>
          <w:spacing w:val="46"/>
          <w:sz w:val="20"/>
        </w:rPr>
        <w:t xml:space="preserve"> </w:t>
      </w:r>
      <w:r>
        <w:rPr>
          <w:rFonts w:ascii="Arial;Helvetica;sans-serif" w:hAnsi="Arial;Helvetica;sans-serif"/>
          <w:b/>
          <w:sz w:val="20"/>
        </w:rPr>
        <w:t>ACT</w:t>
      </w:r>
      <w:r>
        <w:rPr>
          <w:rFonts w:ascii="Times New Roman;Times;serif" w:hAnsi="Times New Roman;Times;serif"/>
          <w:sz w:val="20"/>
        </w:rPr>
        <w:t xml:space="preserve"> </w:t>
      </w:r>
      <w:r>
        <w:rPr>
          <w:rFonts w:ascii="Arial;Helvetica;sans-serif" w:hAnsi="Arial;Helvetica;sans-serif"/>
          <w:b/>
          <w:sz w:val="20"/>
        </w:rPr>
        <w:t>OF</w:t>
      </w:r>
      <w:r>
        <w:rPr>
          <w:rFonts w:ascii="Times New Roman;Times;serif" w:hAnsi="Times New Roman;Times;serif"/>
          <w:spacing w:val="26"/>
          <w:sz w:val="20"/>
        </w:rPr>
        <w:t xml:space="preserve"> </w:t>
      </w:r>
      <w:r>
        <w:rPr>
          <w:rFonts w:ascii="Arial;Helvetica;sans-serif" w:hAnsi="Arial;Helvetica;sans-serif"/>
          <w:b/>
          <w:sz w:val="20"/>
        </w:rPr>
        <w:t>1934,</w:t>
      </w:r>
      <w:r>
        <w:rPr>
          <w:rFonts w:ascii="Times New Roman;Times;serif" w:hAnsi="Times New Roman;Times;serif"/>
          <w:spacing w:val="7"/>
          <w:sz w:val="20"/>
        </w:rPr>
        <w:t xml:space="preserve"> </w:t>
      </w:r>
      <w:r>
        <w:rPr>
          <w:rFonts w:ascii="Arial;Helvetica;sans-serif" w:hAnsi="Arial;Helvetica;sans-serif"/>
          <w:b/>
          <w:sz w:val="20"/>
        </w:rPr>
        <w:t>AS</w:t>
      </w:r>
      <w:r>
        <w:rPr>
          <w:rFonts w:ascii="Times New Roman;Times;serif" w:hAnsi="Times New Roman;Times;serif"/>
          <w:spacing w:val="17"/>
          <w:sz w:val="20"/>
        </w:rPr>
        <w:t xml:space="preserve"> </w:t>
      </w:r>
      <w:r>
        <w:rPr>
          <w:rFonts w:ascii="Arial;Helvetica;sans-serif" w:hAnsi="Arial;Helvetica;sans-serif"/>
          <w:b/>
          <w:sz w:val="20"/>
        </w:rPr>
        <w:t>ADOPTED</w:t>
      </w:r>
      <w:r>
        <w:rPr>
          <w:rFonts w:ascii="Times New Roman;Times;serif" w:hAnsi="Times New Roman;Times;serif"/>
          <w:spacing w:val="40"/>
          <w:sz w:val="20"/>
        </w:rPr>
        <w:t xml:space="preserve"> </w:t>
      </w:r>
      <w:r>
        <w:rPr>
          <w:rFonts w:ascii="Arial;Helvetica;sans-serif" w:hAnsi="Arial;Helvetica;sans-serif"/>
          <w:b/>
          <w:sz w:val="20"/>
        </w:rPr>
        <w:t>PURSUANT</w:t>
      </w:r>
      <w:r>
        <w:rPr>
          <w:rFonts w:ascii="Times New Roman;Times;serif" w:hAnsi="Times New Roman;Times;serif"/>
          <w:spacing w:val="40"/>
          <w:sz w:val="20"/>
        </w:rPr>
        <w:t xml:space="preserve"> </w:t>
      </w:r>
      <w:r>
        <w:rPr>
          <w:rFonts w:ascii="Arial;Helvetica;sans-serif" w:hAnsi="Arial;Helvetica;sans-serif"/>
          <w:b/>
          <w:sz w:val="20"/>
        </w:rPr>
        <w:t>TO</w:t>
      </w:r>
      <w:r>
        <w:rPr>
          <w:rFonts w:ascii="Times New Roman;Times;serif" w:hAnsi="Times New Roman;Times;serif"/>
          <w:spacing w:val="19"/>
          <w:sz w:val="20"/>
        </w:rPr>
        <w:t xml:space="preserve"> </w:t>
      </w:r>
      <w:r>
        <w:rPr>
          <w:rFonts w:ascii="Arial;Helvetica;sans-serif" w:hAnsi="Arial;Helvetica;sans-serif"/>
          <w:b/>
          <w:sz w:val="20"/>
        </w:rPr>
        <w:t>SECTION</w:t>
      </w:r>
      <w:r>
        <w:rPr>
          <w:rFonts w:ascii="Times New Roman;Times;serif" w:hAnsi="Times New Roman;Times;serif"/>
          <w:spacing w:val="17"/>
          <w:sz w:val="20"/>
        </w:rPr>
        <w:t xml:space="preserve"> </w:t>
      </w:r>
      <w:r>
        <w:rPr>
          <w:rFonts w:ascii="Arial;Helvetica;sans-serif" w:hAnsi="Arial;Helvetica;sans-serif"/>
          <w:b/>
          <w:sz w:val="20"/>
        </w:rPr>
        <w:t>302</w:t>
      </w:r>
      <w:r>
        <w:rPr>
          <w:rFonts w:ascii="Times New Roman;Times;serif" w:hAnsi="Times New Roman;Times;serif"/>
          <w:spacing w:val="28"/>
          <w:sz w:val="20"/>
        </w:rPr>
        <w:t xml:space="preserve"> </w:t>
      </w:r>
      <w:r>
        <w:rPr>
          <w:rFonts w:ascii="Arial;Helvetica;sans-serif" w:hAnsi="Arial;Helvetica;sans-serif"/>
          <w:b/>
          <w:sz w:val="20"/>
        </w:rPr>
        <w:t>OF</w:t>
      </w:r>
      <w:r>
        <w:rPr>
          <w:rFonts w:ascii="Times New Roman;Times;serif" w:hAnsi="Times New Roman;Times;serif"/>
          <w:spacing w:val="15"/>
          <w:sz w:val="20"/>
        </w:rPr>
        <w:t xml:space="preserve"> </w:t>
      </w:r>
      <w:r>
        <w:rPr>
          <w:rFonts w:ascii="Arial;Helvetica;sans-serif" w:hAnsi="Arial;Helvetica;sans-serif"/>
          <w:b/>
          <w:sz w:val="20"/>
        </w:rPr>
        <w:t>THE</w:t>
      </w:r>
      <w:r>
        <w:rPr>
          <w:rFonts w:ascii="Times New Roman;Times;serif" w:hAnsi="Times New Roman;Times;serif"/>
          <w:spacing w:val="18"/>
          <w:sz w:val="20"/>
        </w:rPr>
        <w:t xml:space="preserve"> </w:t>
      </w:r>
      <w:r>
        <w:rPr>
          <w:rFonts w:ascii="Arial;Helvetica;sans-serif" w:hAnsi="Arial;Helvetica;sans-serif"/>
          <w:b/>
          <w:sz w:val="20"/>
        </w:rPr>
        <w:t>SARBANES-OXLEY</w:t>
      </w:r>
      <w:r>
        <w:rPr>
          <w:rFonts w:ascii="Times New Roman;Times;serif" w:hAnsi="Times New Roman;Times;serif"/>
          <w:spacing w:val="8"/>
          <w:sz w:val="20"/>
        </w:rPr>
        <w:t xml:space="preserve"> </w:t>
      </w:r>
      <w:r>
        <w:rPr>
          <w:rFonts w:ascii="Arial;Helvetica;sans-serif" w:hAnsi="Arial;Helvetica;sans-serif"/>
          <w:b/>
          <w:sz w:val="20"/>
        </w:rPr>
        <w:t>ACT</w:t>
      </w:r>
      <w:r>
        <w:rPr>
          <w:rFonts w:ascii="Times New Roman;Times;serif" w:hAnsi="Times New Roman;Times;serif"/>
          <w:spacing w:val="29"/>
          <w:sz w:val="20"/>
        </w:rPr>
        <w:t xml:space="preserve"> </w:t>
      </w:r>
      <w:r>
        <w:rPr>
          <w:rFonts w:ascii="Arial;Helvetica;sans-serif" w:hAnsi="Arial;Helvetica;sans-serif"/>
          <w:b/>
          <w:sz w:val="20"/>
        </w:rPr>
        <w:t>OF</w:t>
      </w:r>
      <w:r>
        <w:rPr>
          <w:rFonts w:ascii="Times New Roman;Times;serif" w:hAnsi="Times New Roman;Times;serif"/>
          <w:spacing w:val="20"/>
          <w:sz w:val="20"/>
        </w:rPr>
        <w:t xml:space="preserve"> </w:t>
      </w:r>
      <w:r>
        <w:rPr>
          <w:rFonts w:ascii="Arial;Helvetica;sans-serif" w:hAnsi="Arial;Helvetica;sans-serif"/>
          <w:b/>
          <w:sz w:val="20"/>
        </w:rPr>
        <w:t>2002</w:t>
      </w:r>
    </w:p>
    <w:p>
      <w:pPr>
        <w:pStyle w:val="TextBody"/>
        <w:bidi w:val="0"/>
        <w:spacing w:before="6" w:after="0"/>
        <w:ind w:left="0" w:right="0" w:hanging="0"/>
        <w:jc w:val="left"/>
        <w:rPr/>
      </w:pPr>
      <w:r>
        <w:rPr/>
        <w:t>​</w:t>
      </w:r>
    </w:p>
    <w:p>
      <w:pPr>
        <w:pStyle w:val="TextBody"/>
        <w:bidi w:val="0"/>
        <w:spacing w:before="0" w:after="0"/>
        <w:ind w:left="0" w:right="0" w:hanging="0"/>
        <w:jc w:val="both"/>
        <w:rPr>
          <w:rFonts w:ascii="Times New Roman;Times;serif" w:hAnsi="Times New Roman;Times;serif"/>
          <w:sz w:val="19"/>
        </w:rPr>
      </w:pPr>
      <w:r>
        <w:rPr>
          <w:rFonts w:ascii="Arial;Helvetica;sans-serif" w:hAnsi="Arial;Helvetica;sans-serif"/>
          <w:sz w:val="20"/>
        </w:rPr>
        <w:t>I,</w:t>
      </w:r>
      <w:r>
        <w:rPr>
          <w:rFonts w:ascii="Times New Roman;Times;serif" w:hAnsi="Times New Roman;Times;serif"/>
          <w:spacing w:val="12"/>
          <w:sz w:val="19"/>
        </w:rPr>
        <w:t xml:space="preserve"> </w:t>
      </w:r>
      <w:r>
        <w:rPr>
          <w:rFonts w:ascii="Arial;Helvetica;sans-serif" w:hAnsi="Arial;Helvetica;sans-serif"/>
          <w:sz w:val="20"/>
        </w:rPr>
        <w:t>Elaine M. Birkemeyer,</w:t>
      </w:r>
      <w:r>
        <w:rPr>
          <w:rFonts w:ascii="Times New Roman;Times;serif" w:hAnsi="Times New Roman;Times;serif"/>
          <w:spacing w:val="25"/>
          <w:sz w:val="19"/>
        </w:rPr>
        <w:t xml:space="preserve"> </w:t>
      </w:r>
      <w:r>
        <w:rPr>
          <w:rFonts w:ascii="Arial;Helvetica;sans-serif" w:hAnsi="Arial;Helvetica;sans-serif"/>
          <w:sz w:val="20"/>
        </w:rPr>
        <w:t>certify</w:t>
      </w:r>
      <w:r>
        <w:rPr>
          <w:rFonts w:ascii="Times New Roman;Times;serif" w:hAnsi="Times New Roman;Times;serif"/>
          <w:spacing w:val="9"/>
          <w:sz w:val="19"/>
        </w:rPr>
        <w:t xml:space="preserve"> </w:t>
      </w:r>
      <w:r>
        <w:rPr>
          <w:rFonts w:ascii="Arial;Helvetica;sans-serif" w:hAnsi="Arial;Helvetica;sans-serif"/>
          <w:sz w:val="20"/>
        </w:rPr>
        <w:t>that:</w:t>
      </w:r>
    </w:p>
    <w:p>
      <w:pPr>
        <w:pStyle w:val="TextBody"/>
        <w:bidi w:val="0"/>
        <w:spacing w:before="0" w:after="0"/>
        <w:ind w:left="0" w:right="0" w:hanging="0"/>
        <w:jc w:val="left"/>
        <w:rPr/>
      </w:pPr>
      <w:r>
        <w:rPr/>
        <w:t>​</w:t>
      </w:r>
    </w:p>
    <w:tbl>
      <w:tblPr>
        <w:tblW w:w="7968" w:type="dxa"/>
        <w:jc w:val="left"/>
        <w:tblInd w:w="0" w:type="dxa"/>
        <w:tblLayout w:type="fixed"/>
        <w:tblCellMar>
          <w:top w:w="0" w:type="dxa"/>
          <w:left w:w="0" w:type="dxa"/>
          <w:bottom w:w="0" w:type="dxa"/>
          <w:right w:w="0" w:type="dxa"/>
        </w:tblCellMar>
      </w:tblPr>
      <w:tblGrid>
        <w:gridCol w:w="23"/>
        <w:gridCol w:w="155"/>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77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have reviewed this Quarterly Report on Form 10-Q of Tactile Systems Technology, Inc.;</w:t>
            </w:r>
          </w:p>
        </w:tc>
      </w:tr>
    </w:tbl>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3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3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3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100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2435" w:type="dxa"/>
        <w:jc w:val="left"/>
        <w:tblInd w:w="0" w:type="dxa"/>
        <w:tblLayout w:type="fixed"/>
        <w:tblCellMar>
          <w:top w:w="0" w:type="dxa"/>
          <w:left w:w="0" w:type="dxa"/>
          <w:bottom w:w="0" w:type="dxa"/>
          <w:right w:w="0" w:type="dxa"/>
        </w:tblCellMar>
      </w:tblPr>
      <w:tblGrid>
        <w:gridCol w:w="124"/>
        <w:gridCol w:w="2311"/>
      </w:tblGrid>
      <w:tr>
        <w:trPr/>
        <w:tc>
          <w:tcPr>
            <w:tcW w:w="124"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Elaine M. Birkemeyer</w:t>
            </w:r>
          </w:p>
        </w:tc>
      </w:tr>
      <w:tr>
        <w:trPr/>
        <w:tc>
          <w:tcPr>
            <w:tcW w:w="124" w:type="dxa"/>
            <w:tcBorders/>
            <w:vAlign w:val="center"/>
          </w:tcPr>
          <w:p>
            <w:pPr>
              <w:pStyle w:val="TableContents"/>
              <w:bidi w:val="0"/>
              <w:spacing w:before="0" w:after="0"/>
              <w:ind w:left="0" w:right="0" w:hanging="0"/>
              <w:jc w:val="left"/>
              <w:rPr/>
            </w:pPr>
            <w:r>
              <w:rPr/>
              <w:t>​</w:t>
            </w:r>
          </w:p>
        </w:tc>
        <w:tc>
          <w:tcPr>
            <w:tcW w:w="231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Elaine M. Birkemeyer</w:t>
            </w:r>
          </w:p>
        </w:tc>
      </w:tr>
      <w:tr>
        <w:trPr/>
        <w:tc>
          <w:tcPr>
            <w:tcW w:w="124" w:type="dxa"/>
            <w:tcBorders/>
            <w:vAlign w:val="center"/>
          </w:tcPr>
          <w:p>
            <w:pPr>
              <w:pStyle w:val="TableContents"/>
              <w:bidi w:val="0"/>
              <w:spacing w:before="2" w:after="0"/>
              <w:ind w:left="0" w:right="0" w:hanging="0"/>
              <w:jc w:val="left"/>
              <w:rPr/>
            </w:pPr>
            <w:r>
              <w:rPr/>
              <w:t>​</w:t>
            </w:r>
          </w:p>
        </w:tc>
        <w:tc>
          <w:tcPr>
            <w:tcW w:w="2311" w:type="dxa"/>
            <w:tcBorders/>
            <w:vAlign w:val="center"/>
          </w:tcPr>
          <w:p>
            <w:pPr>
              <w:pStyle w:val="TableContents"/>
              <w:bidi w:val="0"/>
              <w:spacing w:before="2" w:after="0"/>
              <w:ind w:left="0" w:right="0" w:hanging="0"/>
              <w:jc w:val="left"/>
              <w:rPr>
                <w:rFonts w:ascii="Arial;Helvetica;sans-serif" w:hAnsi="Arial;Helvetica;sans-serif"/>
                <w:i/>
                <w:sz w:val="20"/>
              </w:rPr>
            </w:pPr>
            <w:r>
              <w:rPr>
                <w:rFonts w:ascii="Arial;Helvetica;sans-serif" w:hAnsi="Arial;Helvetica;sans-serif"/>
                <w:i/>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10, 2026</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bookmarkStart w:id="1240" w:name="tcmd-20260630xex32d1.htm"/>
      <w:bookmarkStart w:id="1241" w:name="kstcmd20260630xex32d1"/>
      <w:bookmarkEnd w:id="1240"/>
      <w:bookmarkEnd w:id="1241"/>
      <w:r>
        <w:rPr/>
        <w:t>​</w:t>
      </w:r>
      <w:r>
        <w:br w:type="page"/>
      </w:r>
    </w:p>
    <w:p>
      <w:pPr>
        <w:pStyle w:val="TextBody"/>
        <w:bidi w:val="0"/>
        <w:spacing w:before="0" w:after="0"/>
        <w:ind w:left="0" w:right="0" w:hanging="0"/>
        <w:jc w:val="right"/>
        <w:rPr>
          <w:rFonts w:ascii="Arial;Helvetica;sans-serif" w:hAnsi="Arial;Helvetica;sans-serif"/>
          <w:b/>
          <w:sz w:val="20"/>
        </w:rPr>
      </w:pPr>
      <w:r>
        <w:rPr>
          <w:rFonts w:ascii="Arial;Helvetica;sans-serif" w:hAnsi="Arial;Helvetica;sans-serif"/>
          <w:b/>
          <w:sz w:val="20"/>
        </w:rPr>
        <w:t>Exhibit 32.1</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CERTIFICATION PURSUANT TO 18 U.S.C. SECTION 1350,</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AS ADOPTED PURSUANT TO</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In connection with the Quarterly Report on Form 10-Q of Tactile Systems Technology, Inc. (the “Company”) for the period ended June 30, 2026, as filed with the Securities and Exchange Commission on the date hereof (the “Report”), the undersigned, Sheri L. Dodd, Chief Executive Officer of the Company, hereby certifies, pursuant to 18 U.S.C. Section 1350, as adopted pursuant to Section 906 of the Sarbanes-Oxley Act of 2002, that to her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285" w:type="dxa"/>
        <w:jc w:val="left"/>
        <w:tblInd w:w="0" w:type="dxa"/>
        <w:tblLayout w:type="fixed"/>
        <w:tblCellMar>
          <w:top w:w="0" w:type="dxa"/>
          <w:left w:w="0" w:type="dxa"/>
          <w:bottom w:w="0" w:type="dxa"/>
          <w:right w:w="0" w:type="dxa"/>
        </w:tblCellMar>
      </w:tblPr>
      <w:tblGrid>
        <w:gridCol w:w="124"/>
        <w:gridCol w:w="2161"/>
      </w:tblGrid>
      <w:tr>
        <w:trPr/>
        <w:tc>
          <w:tcPr>
            <w:tcW w:w="12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i/>
                <w:sz w:val="20"/>
              </w:rPr>
              <w:t>/s/</w:t>
            </w:r>
            <w:r>
              <w:rPr>
                <w:rFonts w:ascii="Times New Roman;Times;serif" w:hAnsi="Times New Roman;Times;serif"/>
                <w:spacing w:val="25"/>
                <w:sz w:val="20"/>
              </w:rPr>
              <w:t xml:space="preserve"> </w:t>
            </w:r>
            <w:r>
              <w:rPr>
                <w:rFonts w:ascii="Arial;Helvetica;sans-serif" w:hAnsi="Arial;Helvetica;sans-serif"/>
                <w:i/>
                <w:sz w:val="20"/>
              </w:rPr>
              <w:t>Sheri L. Dodd</w:t>
            </w:r>
          </w:p>
        </w:tc>
      </w:tr>
      <w:tr>
        <w:trPr/>
        <w:tc>
          <w:tcPr>
            <w:tcW w:w="124" w:type="dxa"/>
            <w:tcBorders/>
            <w:vAlign w:val="center"/>
          </w:tcPr>
          <w:p>
            <w:pPr>
              <w:pStyle w:val="TableContents"/>
              <w:bidi w:val="0"/>
              <w:spacing w:before="0" w:after="0"/>
              <w:ind w:left="0" w:right="0" w:hanging="0"/>
              <w:jc w:val="left"/>
              <w:rPr/>
            </w:pPr>
            <w:r>
              <w:rPr/>
              <w:t>​</w:t>
            </w:r>
          </w:p>
        </w:tc>
        <w:tc>
          <w:tcPr>
            <w:tcW w:w="216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Sheri L. Dodd</w:t>
            </w:r>
          </w:p>
        </w:tc>
      </w:tr>
      <w:tr>
        <w:trPr/>
        <w:tc>
          <w:tcPr>
            <w:tcW w:w="124" w:type="dxa"/>
            <w:tcBorders/>
            <w:vAlign w:val="center"/>
          </w:tcPr>
          <w:p>
            <w:pPr>
              <w:pStyle w:val="TableContents"/>
              <w:bidi w:val="0"/>
              <w:spacing w:before="2" w:after="0"/>
              <w:ind w:left="0" w:right="0" w:hanging="0"/>
              <w:jc w:val="left"/>
              <w:rPr/>
            </w:pPr>
            <w:r>
              <w:rPr/>
              <w:t>​</w:t>
            </w:r>
          </w:p>
        </w:tc>
        <w:tc>
          <w:tcPr>
            <w:tcW w:w="2161" w:type="dxa"/>
            <w:tcBorders/>
            <w:vAlign w:val="center"/>
          </w:tcPr>
          <w:p>
            <w:pPr>
              <w:pStyle w:val="TableContents"/>
              <w:bidi w:val="0"/>
              <w:spacing w:before="2" w:after="0"/>
              <w:ind w:left="0" w:right="0" w:hanging="0"/>
              <w:jc w:val="left"/>
              <w:rPr>
                <w:rFonts w:ascii="Times New Roman;Times;serif" w:hAnsi="Times New Roman;Times;serif"/>
                <w:sz w:val="20"/>
              </w:rPr>
            </w:pPr>
            <w:r>
              <w:rPr>
                <w:rFonts w:ascii="Arial;Helvetica;sans-serif" w:hAnsi="Arial;Helvetica;sans-serif"/>
                <w:i/>
                <w:sz w:val="20"/>
              </w:rPr>
              <w:t>Chief</w:t>
            </w:r>
            <w:r>
              <w:rPr>
                <w:rFonts w:ascii="Times New Roman;Times;serif" w:hAnsi="Times New Roman;Times;serif"/>
                <w:spacing w:val="1"/>
                <w:sz w:val="20"/>
              </w:rPr>
              <w:t xml:space="preserve"> </w:t>
            </w:r>
            <w:r>
              <w:rPr>
                <w:rFonts w:ascii="Arial;Helvetica;sans-serif" w:hAnsi="Arial;Helvetica;sans-serif"/>
                <w:i/>
                <w:sz w:val="20"/>
              </w:rPr>
              <w:t>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10, 2026</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0" w:after="0"/>
        <w:ind w:left="0" w:right="0" w:hanging="0"/>
        <w:jc w:val="left"/>
        <w:rPr/>
      </w:pPr>
      <w:bookmarkStart w:id="1242" w:name="tcmd-20260630xex32d2.htm"/>
      <w:bookmarkStart w:id="1243" w:name="kstcmd20260630xex32d2"/>
      <w:bookmarkEnd w:id="1242"/>
      <w:bookmarkEnd w:id="1243"/>
      <w:r>
        <w:rPr/>
        <w:t>​</w:t>
      </w:r>
      <w:r>
        <w:br w:type="page"/>
      </w:r>
    </w:p>
    <w:p>
      <w:pPr>
        <w:pStyle w:val="TextBody"/>
        <w:bidi w:val="0"/>
        <w:spacing w:before="12" w:after="0"/>
        <w:ind w:left="0" w:right="0" w:hanging="0"/>
        <w:jc w:val="right"/>
        <w:rPr>
          <w:rFonts w:ascii="Arial;Helvetica;sans-serif" w:hAnsi="Arial;Helvetica;sans-serif"/>
          <w:b/>
          <w:sz w:val="20"/>
        </w:rPr>
      </w:pPr>
      <w:r>
        <w:rPr>
          <w:rFonts w:ascii="Arial;Helvetica;sans-serif" w:hAnsi="Arial;Helvetica;sans-serif"/>
          <w:b/>
          <w:sz w:val="20"/>
        </w:rPr>
        <w:t>Exhibit 32.2</w:t>
      </w:r>
    </w:p>
    <w:p>
      <w:pPr>
        <w:pStyle w:val="TextBody"/>
        <w:bidi w:val="0"/>
        <w:spacing w:before="12" w:after="0"/>
        <w:ind w:left="0" w:right="0" w:hanging="0"/>
        <w:jc w:val="left"/>
        <w:rPr/>
      </w:pPr>
      <w:r>
        <w:rPr/>
        <w:t>​</w:t>
      </w:r>
    </w:p>
    <w:p>
      <w:pPr>
        <w:pStyle w:val="TextBody"/>
        <w:bidi w:val="0"/>
        <w:spacing w:before="12" w:after="0"/>
        <w:ind w:left="0" w:right="0" w:hanging="0"/>
        <w:jc w:val="center"/>
        <w:rPr>
          <w:rFonts w:ascii="Arial;Helvetica;sans-serif" w:hAnsi="Arial;Helvetica;sans-serif"/>
          <w:b/>
          <w:sz w:val="22"/>
        </w:rPr>
      </w:pPr>
      <w:r>
        <w:rPr>
          <w:rFonts w:ascii="Arial;Helvetica;sans-serif" w:hAnsi="Arial;Helvetica;sans-serif"/>
          <w:b/>
          <w:sz w:val="22"/>
        </w:rPr>
        <w:t>CERTIFICATION PURSUANT TO 18 U.S.C. SECTION 1350,</w:t>
      </w:r>
    </w:p>
    <w:p>
      <w:pPr>
        <w:pStyle w:val="TextBody"/>
        <w:bidi w:val="0"/>
        <w:spacing w:before="12" w:after="0"/>
        <w:ind w:left="0" w:right="0" w:hanging="0"/>
        <w:jc w:val="center"/>
        <w:rPr>
          <w:rFonts w:ascii="Arial;Helvetica;sans-serif" w:hAnsi="Arial;Helvetica;sans-serif"/>
          <w:b/>
          <w:sz w:val="22"/>
        </w:rPr>
      </w:pPr>
      <w:r>
        <w:rPr>
          <w:rFonts w:ascii="Arial;Helvetica;sans-serif" w:hAnsi="Arial;Helvetica;sans-serif"/>
          <w:b/>
          <w:sz w:val="22"/>
        </w:rPr>
        <w:t>AS ADOPTED PURSUANT TO</w:t>
      </w:r>
    </w:p>
    <w:p>
      <w:pPr>
        <w:pStyle w:val="TextBody"/>
        <w:bidi w:val="0"/>
        <w:spacing w:before="12" w:after="0"/>
        <w:ind w:left="0" w:right="0" w:hanging="0"/>
        <w:jc w:val="center"/>
        <w:rPr>
          <w:rFonts w:ascii="Arial;Helvetica;sans-serif" w:hAnsi="Arial;Helvetica;sans-serif"/>
          <w:b/>
          <w:sz w:val="22"/>
        </w:rPr>
      </w:pPr>
      <w:r>
        <w:rPr>
          <w:rFonts w:ascii="Arial;Helvetica;sans-serif" w:hAnsi="Arial;Helvetica;sans-serif"/>
          <w:b/>
          <w:sz w:val="22"/>
        </w:rPr>
        <w:t>SECTION 906 OF THE SARBANES-OXLEY ACT OF 2002</w:t>
      </w:r>
    </w:p>
    <w:p>
      <w:pPr>
        <w:pStyle w:val="TextBody"/>
        <w:bidi w:val="0"/>
        <w:spacing w:before="12" w:after="0"/>
        <w:ind w:left="0" w:right="0" w:hanging="0"/>
        <w:jc w:val="left"/>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In connection with the Quarterly Report on Form 10-Q of Tactile Systems Technology, Inc. (the “Company”) for the period ended June 30, 2026, as filed with the Securities and Exchange Commission on the date hereof (the “Report”), the undersigned, Elaine M. Birkemeyer, Chief Financial Officer of the Company, hereby certifies, pursuant to 18 U.S.C. Section 1350, as adopted pursuant to Section 906 of the Sarbanes-Oxley Act of 2002, that to her knowledge: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435" w:type="dxa"/>
        <w:jc w:val="left"/>
        <w:tblInd w:w="0" w:type="dxa"/>
        <w:tblLayout w:type="fixed"/>
        <w:tblCellMar>
          <w:top w:w="0" w:type="dxa"/>
          <w:left w:w="0" w:type="dxa"/>
          <w:bottom w:w="0" w:type="dxa"/>
          <w:right w:w="0" w:type="dxa"/>
        </w:tblCellMar>
      </w:tblPr>
      <w:tblGrid>
        <w:gridCol w:w="124"/>
        <w:gridCol w:w="2311"/>
      </w:tblGrid>
      <w:tr>
        <w:trPr/>
        <w:tc>
          <w:tcPr>
            <w:tcW w:w="124"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2" w:after="0"/>
              <w:ind w:left="0" w:right="0" w:hanging="0"/>
              <w:jc w:val="left"/>
              <w:rPr/>
            </w:pPr>
            <w:r>
              <w:rPr/>
              <w:t>​</w:t>
            </w:r>
          </w:p>
        </w:tc>
        <w:tc>
          <w:tcPr>
            <w:tcW w:w="2311" w:type="dxa"/>
            <w:tcBorders>
              <w:bottom w:val="single" w:sz="2" w:space="0" w:color="000000"/>
            </w:tcBorders>
            <w:tcMar>
              <w:bottom w:w="28" w:type="dxa"/>
            </w:tcMar>
            <w:vAlign w:val="center"/>
          </w:tcPr>
          <w:p>
            <w:pPr>
              <w:pStyle w:val="TableContents"/>
              <w:bidi w:val="0"/>
              <w:spacing w:before="2" w:after="0"/>
              <w:ind w:left="0" w:right="0" w:hanging="0"/>
              <w:jc w:val="left"/>
              <w:rPr>
                <w:rFonts w:ascii="Arial;Helvetica;sans-serif" w:hAnsi="Arial;Helvetica;sans-serif"/>
                <w:i/>
                <w:sz w:val="20"/>
              </w:rPr>
            </w:pPr>
            <w:r>
              <w:rPr>
                <w:rFonts w:ascii="Arial;Helvetica;sans-serif" w:hAnsi="Arial;Helvetica;sans-serif"/>
                <w:i/>
                <w:sz w:val="20"/>
              </w:rPr>
              <w:t>/s/ Elaine M. Birkemeyer</w:t>
            </w:r>
          </w:p>
        </w:tc>
      </w:tr>
      <w:tr>
        <w:trPr/>
        <w:tc>
          <w:tcPr>
            <w:tcW w:w="124" w:type="dxa"/>
            <w:tcBorders/>
            <w:vAlign w:val="center"/>
          </w:tcPr>
          <w:p>
            <w:pPr>
              <w:pStyle w:val="TableContents"/>
              <w:bidi w:val="0"/>
              <w:spacing w:before="2" w:after="0"/>
              <w:ind w:left="0" w:right="0" w:hanging="0"/>
              <w:jc w:val="left"/>
              <w:rPr/>
            </w:pPr>
            <w:r>
              <w:rPr/>
              <w:t>​</w:t>
            </w:r>
          </w:p>
        </w:tc>
        <w:tc>
          <w:tcPr>
            <w:tcW w:w="2311" w:type="dxa"/>
            <w:tcBorders>
              <w:top w:val="single" w:sz="2" w:space="0" w:color="000000"/>
            </w:tcBorders>
            <w:tcMar>
              <w:top w:w="28" w:type="dxa"/>
            </w:tcMar>
            <w:vAlign w:val="center"/>
          </w:tcPr>
          <w:p>
            <w:pPr>
              <w:pStyle w:val="TableContents"/>
              <w:bidi w:val="0"/>
              <w:spacing w:before="2" w:after="0"/>
              <w:ind w:left="0" w:right="0" w:hanging="0"/>
              <w:jc w:val="left"/>
              <w:rPr>
                <w:rFonts w:ascii="Arial;Helvetica;sans-serif" w:hAnsi="Arial;Helvetica;sans-serif"/>
                <w:b/>
                <w:sz w:val="20"/>
              </w:rPr>
            </w:pPr>
            <w:r>
              <w:rPr>
                <w:rFonts w:ascii="Arial;Helvetica;sans-serif" w:hAnsi="Arial;Helvetica;sans-serif"/>
                <w:b/>
                <w:sz w:val="20"/>
              </w:rPr>
              <w:t>Elaine M. Birkemeyer</w:t>
            </w:r>
          </w:p>
        </w:tc>
      </w:tr>
      <w:tr>
        <w:trPr/>
        <w:tc>
          <w:tcPr>
            <w:tcW w:w="124" w:type="dxa"/>
            <w:tcBorders/>
            <w:vAlign w:val="center"/>
          </w:tcPr>
          <w:p>
            <w:pPr>
              <w:pStyle w:val="TableContents"/>
              <w:bidi w:val="0"/>
              <w:spacing w:before="2" w:after="0"/>
              <w:ind w:left="0" w:right="0" w:hanging="0"/>
              <w:jc w:val="left"/>
              <w:rPr/>
            </w:pPr>
            <w:r>
              <w:rPr/>
              <w:t>​</w:t>
            </w:r>
          </w:p>
        </w:tc>
        <w:tc>
          <w:tcPr>
            <w:tcW w:w="2311" w:type="dxa"/>
            <w:tcBorders/>
            <w:vAlign w:val="center"/>
          </w:tcPr>
          <w:p>
            <w:pPr>
              <w:pStyle w:val="TableContents"/>
              <w:bidi w:val="0"/>
              <w:spacing w:before="2" w:after="0"/>
              <w:ind w:left="0" w:right="0" w:hanging="0"/>
              <w:jc w:val="left"/>
              <w:rPr>
                <w:rFonts w:ascii="Arial;Helvetica;sans-serif" w:hAnsi="Arial;Helvetica;sans-serif"/>
                <w:i/>
                <w:sz w:val="20"/>
              </w:rPr>
            </w:pPr>
            <w:r>
              <w:rPr>
                <w:rFonts w:ascii="Arial;Helvetica;sans-serif" w:hAnsi="Arial;Helvetica;sans-serif"/>
                <w:i/>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10, 2026</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7838/000110465926057271/tm2613832d1_ex3-2.htm" TargetMode="External"/><Relationship Id="rId3" Type="http://schemas.openxmlformats.org/officeDocument/2006/relationships/hyperlink" Target="https://www.sec.gov/Archives/edgar/data/1027838/000155837023001580/tcmd-20221231xex3d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17910</Words>
  <Characters>96817</Characters>
  <CharactersWithSpaces>116303</CharactersWithSpaces>
  <Paragraphs>6250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