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457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45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7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Chief Operating Officer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02/11/2019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gridSpan w:val="1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gridSpan w:val="1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10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8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jc w:val="center"/>
              <w:ind w:left="68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02/11/2019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2,500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0.96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110,270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02/11/2019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(2)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2,500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68.61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107,770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02/13/2019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2,500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0.96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110,270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02/13/2019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(2)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2,500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70.22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107,770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8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ind w:right="13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02/11/2019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2,500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10/13/2023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22,500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ind w:right="13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02/13/2019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2,500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10/13/2023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20,000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4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8"/>
              </w:rPr>
              <w:t>1. Stock option exercise effected pursuant to a Rule 10b5-1 trading plan adopted by the reporting person on December 9, 2018.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6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9"/>
              </w:rPr>
              <w:t>2. Sales effected pursuant to a Rule 10b5-1 trading plan adopted by the reporting person on December 9, 2018.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</w:rPr>
              <w:t>3. Fully vested.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/s/ Jonathan R. Zimmerman,</w:t>
            </w:r>
          </w:p>
        </w:tc>
        <w:tc>
          <w:tcPr>
            <w:tcW w:w="9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02/13/2019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6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2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-4171315</wp:posOffset>
            </wp:positionV>
            <wp:extent cx="24765" cy="29584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95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2019-12-24T07:29:46Z</dcterms:created>
  <dcterms:modified xsi:type="dcterms:W3CDTF">2019-12-24T07:29:46Z</dcterms:modified>
</cp:coreProperties>
</file>