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u w:val="single" w:color="auto"/>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3039745</wp:posOffset>
            </wp:positionH>
            <wp:positionV relativeFrom="paragraph">
              <wp:posOffset>-220345</wp:posOffset>
            </wp:positionV>
            <wp:extent cx="10629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62990" cy="8890"/>
                    </a:xfrm>
                    <a:prstGeom prst="rect">
                      <a:avLst/>
                    </a:prstGeom>
                    <a:noFill/>
                  </pic:spPr>
                </pic:pic>
              </a:graphicData>
            </a:graphic>
          </wp:anchor>
        </w:drawing>
      </w:r>
    </w:p>
    <w:p>
      <w:pPr>
        <w:spacing w:after="0" w:line="2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May 9,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1651000</wp:posOffset>
            </wp:positionH>
            <wp:positionV relativeFrom="paragraph">
              <wp:posOffset>156845</wp:posOffset>
            </wp:positionV>
            <wp:extent cx="38404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840480" cy="8255"/>
                    </a:xfrm>
                    <a:prstGeom prst="rect">
                      <a:avLst/>
                    </a:prstGeom>
                    <a:noFill/>
                  </pic:spPr>
                </pic:pic>
              </a:graphicData>
            </a:graphic>
          </wp:anchor>
        </w:drawing>
      </w:r>
    </w:p>
    <w:p>
      <w:pPr>
        <w:spacing w:after="0" w:line="23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TACTILE SYSTEMS TECHNOLOGY, INC.</w:t>
      </w:r>
    </w:p>
    <w:p>
      <w:pPr>
        <w:spacing w:after="0" w:line="4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1651000</wp:posOffset>
            </wp:positionH>
            <wp:positionV relativeFrom="paragraph">
              <wp:posOffset>4445</wp:posOffset>
            </wp:positionV>
            <wp:extent cx="384048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840480" cy="8890"/>
                    </a:xfrm>
                    <a:prstGeom prst="rect">
                      <a:avLst/>
                    </a:prstGeom>
                    <a:noFill/>
                  </pic:spPr>
                </pic:pic>
              </a:graphicData>
            </a:graphic>
          </wp:anchor>
        </w:drawing>
      </w:r>
    </w:p>
    <w:p>
      <w:pPr>
        <w:spacing w:after="0" w:line="235" w:lineRule="exact"/>
        <w:rPr>
          <w:sz w:val="24"/>
          <w:szCs w:val="24"/>
          <w:color w:val="auto"/>
        </w:rPr>
      </w:pPr>
    </w:p>
    <w:tbl>
      <w:tblPr>
        <w:tblLayout w:type="fixed"/>
        <w:tblInd w:w="820" w:type="dxa"/>
        <w:tblCellMar>
          <w:top w:w="0" w:type="dxa"/>
          <w:left w:w="0" w:type="dxa"/>
          <w:bottom w:w="0" w:type="dxa"/>
          <w:right w:w="0" w:type="dxa"/>
        </w:tblCellMar>
      </w:tblPr>
      <w:tr>
        <w:trPr>
          <w:trHeight w:val="220"/>
        </w:trPr>
        <w:tc>
          <w:tcPr>
            <w:tcW w:w="240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500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001-37799</w:t>
            </w:r>
          </w:p>
        </w:tc>
        <w:tc>
          <w:tcPr>
            <w:tcW w:w="184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w w:val="98"/>
              </w:rPr>
              <w:t>41-1801204</w:t>
            </w:r>
          </w:p>
        </w:tc>
      </w:tr>
      <w:tr>
        <w:trPr>
          <w:trHeight w:val="216"/>
        </w:trPr>
        <w:tc>
          <w:tcPr>
            <w:tcW w:w="2400" w:type="dxa"/>
            <w:vAlign w:val="bottom"/>
          </w:tcPr>
          <w:p>
            <w:pPr>
              <w:jc w:val="center"/>
              <w:ind w:right="230"/>
              <w:spacing w:after="0"/>
              <w:rPr>
                <w:sz w:val="20"/>
                <w:szCs w:val="20"/>
                <w:color w:val="auto"/>
              </w:rPr>
            </w:pPr>
            <w:r>
              <w:rPr>
                <w:rFonts w:ascii="Times New Roman" w:cs="Times New Roman" w:eastAsia="Times New Roman" w:hAnsi="Times New Roman"/>
                <w:sz w:val="18"/>
                <w:szCs w:val="18"/>
                <w:color w:val="auto"/>
                <w:w w:val="99"/>
              </w:rPr>
              <w:t>(State or other jurisdiction of</w:t>
            </w:r>
          </w:p>
        </w:tc>
        <w:tc>
          <w:tcPr>
            <w:tcW w:w="500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98"/>
              </w:rPr>
              <w:t>(Commission</w:t>
            </w:r>
          </w:p>
        </w:tc>
        <w:tc>
          <w:tcPr>
            <w:tcW w:w="1840" w:type="dxa"/>
            <w:vAlign w:val="bottom"/>
          </w:tcPr>
          <w:p>
            <w:pPr>
              <w:jc w:val="center"/>
              <w:ind w:left="41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2400" w:type="dxa"/>
            <w:vAlign w:val="bottom"/>
          </w:tcPr>
          <w:p>
            <w:pPr>
              <w:jc w:val="center"/>
              <w:ind w:right="230"/>
              <w:spacing w:after="0"/>
              <w:rPr>
                <w:sz w:val="20"/>
                <w:szCs w:val="20"/>
                <w:color w:val="auto"/>
              </w:rPr>
            </w:pPr>
            <w:r>
              <w:rPr>
                <w:rFonts w:ascii="Times New Roman" w:cs="Times New Roman" w:eastAsia="Times New Roman" w:hAnsi="Times New Roman"/>
                <w:sz w:val="18"/>
                <w:szCs w:val="18"/>
                <w:color w:val="auto"/>
              </w:rPr>
              <w:t>incorporation)</w:t>
            </w:r>
          </w:p>
        </w:tc>
        <w:tc>
          <w:tcPr>
            <w:tcW w:w="500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98"/>
              </w:rPr>
              <w:t>File Number)</w:t>
            </w:r>
          </w:p>
        </w:tc>
        <w:tc>
          <w:tcPr>
            <w:tcW w:w="1840" w:type="dxa"/>
            <w:vAlign w:val="bottom"/>
          </w:tcPr>
          <w:p>
            <w:pPr>
              <w:jc w:val="center"/>
              <w:ind w:left="410"/>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4"/>
        </w:trPr>
        <w:tc>
          <w:tcPr>
            <w:tcW w:w="2400" w:type="dxa"/>
            <w:vAlign w:val="bottom"/>
          </w:tcPr>
          <w:p>
            <w:pPr>
              <w:spacing w:after="0"/>
              <w:rPr>
                <w:sz w:val="24"/>
                <w:szCs w:val="24"/>
                <w:color w:val="auto"/>
              </w:rPr>
            </w:pPr>
          </w:p>
        </w:tc>
        <w:tc>
          <w:tcPr>
            <w:tcW w:w="500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3701 Wayzata Blvd, Suite 300, Minneapolis, MN 55416</w:t>
            </w:r>
          </w:p>
        </w:tc>
        <w:tc>
          <w:tcPr>
            <w:tcW w:w="1840" w:type="dxa"/>
            <w:vAlign w:val="bottom"/>
          </w:tcPr>
          <w:p>
            <w:pPr>
              <w:spacing w:after="0"/>
              <w:rPr>
                <w:sz w:val="24"/>
                <w:szCs w:val="24"/>
                <w:color w:val="auto"/>
              </w:rPr>
            </w:pPr>
          </w:p>
        </w:tc>
      </w:tr>
      <w:tr>
        <w:trPr>
          <w:trHeight w:val="234"/>
        </w:trPr>
        <w:tc>
          <w:tcPr>
            <w:tcW w:w="2400" w:type="dxa"/>
            <w:vAlign w:val="bottom"/>
          </w:tcPr>
          <w:p>
            <w:pPr>
              <w:spacing w:after="0"/>
              <w:rPr>
                <w:sz w:val="20"/>
                <w:szCs w:val="20"/>
                <w:color w:val="auto"/>
              </w:rPr>
            </w:pPr>
          </w:p>
        </w:tc>
        <w:tc>
          <w:tcPr>
            <w:tcW w:w="500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rPr>
              <w:t>(Address of principal executive offices) (Zip Code)</w:t>
            </w:r>
          </w:p>
        </w:tc>
        <w:tc>
          <w:tcPr>
            <w:tcW w:w="1840" w:type="dxa"/>
            <w:vAlign w:val="bottom"/>
          </w:tcPr>
          <w:p>
            <w:pPr>
              <w:spacing w:after="0"/>
              <w:rPr>
                <w:sz w:val="20"/>
                <w:szCs w:val="20"/>
                <w:color w:val="auto"/>
              </w:rPr>
            </w:pPr>
          </w:p>
        </w:tc>
      </w:tr>
      <w:tr>
        <w:trPr>
          <w:trHeight w:val="414"/>
        </w:trPr>
        <w:tc>
          <w:tcPr>
            <w:tcW w:w="2400" w:type="dxa"/>
            <w:vAlign w:val="bottom"/>
          </w:tcPr>
          <w:p>
            <w:pPr>
              <w:spacing w:after="0"/>
              <w:rPr>
                <w:sz w:val="24"/>
                <w:szCs w:val="24"/>
                <w:color w:val="auto"/>
              </w:rPr>
            </w:pPr>
          </w:p>
        </w:tc>
        <w:tc>
          <w:tcPr>
            <w:tcW w:w="500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(612) 355-5100</w:t>
            </w:r>
          </w:p>
        </w:tc>
        <w:tc>
          <w:tcPr>
            <w:tcW w:w="1840" w:type="dxa"/>
            <w:vAlign w:val="bottom"/>
          </w:tcPr>
          <w:p>
            <w:pPr>
              <w:spacing w:after="0"/>
              <w:rPr>
                <w:sz w:val="24"/>
                <w:szCs w:val="24"/>
                <w:color w:val="auto"/>
              </w:rPr>
            </w:pPr>
          </w:p>
        </w:tc>
      </w:tr>
      <w:tr>
        <w:trPr>
          <w:trHeight w:val="234"/>
        </w:trPr>
        <w:tc>
          <w:tcPr>
            <w:tcW w:w="2400" w:type="dxa"/>
            <w:vAlign w:val="bottom"/>
          </w:tcPr>
          <w:p>
            <w:pPr>
              <w:spacing w:after="0"/>
              <w:rPr>
                <w:sz w:val="20"/>
                <w:szCs w:val="20"/>
                <w:color w:val="auto"/>
              </w:rPr>
            </w:pPr>
          </w:p>
        </w:tc>
        <w:tc>
          <w:tcPr>
            <w:tcW w:w="500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(Registrant’s telephone number, including area code)</w:t>
            </w:r>
          </w:p>
        </w:tc>
        <w:tc>
          <w:tcPr>
            <w:tcW w:w="1840" w:type="dxa"/>
            <w:vAlign w:val="bottom"/>
          </w:tcPr>
          <w:p>
            <w:pPr>
              <w:spacing w:after="0"/>
              <w:rPr>
                <w:sz w:val="20"/>
                <w:szCs w:val="20"/>
                <w:color w:val="auto"/>
              </w:rPr>
            </w:pPr>
          </w:p>
        </w:tc>
      </w:tr>
    </w:tbl>
    <w:p>
      <w:pPr>
        <w:spacing w:after="0" w:line="198"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12(b) of the Act:</w:t>
      </w:r>
    </w:p>
    <w:p>
      <w:pPr>
        <w:spacing w:after="0" w:line="227" w:lineRule="exact"/>
        <w:rPr>
          <w:sz w:val="24"/>
          <w:szCs w:val="24"/>
          <w:color w:val="auto"/>
        </w:rPr>
      </w:pPr>
    </w:p>
    <w:tbl>
      <w:tblPr>
        <w:tblLayout w:type="fixed"/>
        <w:tblInd w:w="10" w:type="dxa"/>
        <w:tblCellMar>
          <w:top w:w="0" w:type="dxa"/>
          <w:left w:w="0" w:type="dxa"/>
          <w:bottom w:w="0" w:type="dxa"/>
          <w:right w:w="0" w:type="dxa"/>
        </w:tblCellMar>
      </w:tblPr>
      <w:tr>
        <w:trPr>
          <w:trHeight w:val="40"/>
        </w:trPr>
        <w:tc>
          <w:tcPr>
            <w:tcW w:w="3740" w:type="dxa"/>
            <w:vAlign w:val="bottom"/>
            <w:tcBorders>
              <w:top w:val="single" w:sz="8" w:color="auto"/>
              <w:bottom w:val="single" w:sz="8" w:color="auto"/>
            </w:tcBorders>
          </w:tcPr>
          <w:p>
            <w:pPr>
              <w:spacing w:after="0"/>
              <w:rPr>
                <w:sz w:val="3"/>
                <w:szCs w:val="3"/>
                <w:color w:val="auto"/>
              </w:rPr>
            </w:pPr>
          </w:p>
        </w:tc>
        <w:tc>
          <w:tcPr>
            <w:tcW w:w="3800" w:type="dxa"/>
            <w:vAlign w:val="bottom"/>
            <w:tcBorders>
              <w:top w:val="single" w:sz="8" w:color="auto"/>
              <w:bottom w:val="single" w:sz="8" w:color="auto"/>
            </w:tcBorders>
          </w:tcPr>
          <w:p>
            <w:pPr>
              <w:spacing w:after="0"/>
              <w:rPr>
                <w:sz w:val="3"/>
                <w:szCs w:val="3"/>
                <w:color w:val="auto"/>
              </w:rPr>
            </w:pPr>
          </w:p>
        </w:tc>
        <w:tc>
          <w:tcPr>
            <w:tcW w:w="3700" w:type="dxa"/>
            <w:vAlign w:val="bottom"/>
            <w:tcBorders>
              <w:top w:val="single" w:sz="8" w:color="auto"/>
              <w:bottom w:val="single" w:sz="8" w:color="auto"/>
            </w:tcBorders>
          </w:tcPr>
          <w:p>
            <w:pPr>
              <w:spacing w:after="0"/>
              <w:rPr>
                <w:sz w:val="3"/>
                <w:szCs w:val="3"/>
                <w:color w:val="auto"/>
              </w:rPr>
            </w:pPr>
          </w:p>
        </w:tc>
      </w:tr>
      <w:tr>
        <w:trPr>
          <w:trHeight w:val="174"/>
        </w:trPr>
        <w:tc>
          <w:tcPr>
            <w:tcW w:w="3740" w:type="dxa"/>
            <w:vAlign w:val="bottom"/>
            <w:tcBorders>
              <w:left w:val="single" w:sz="8" w:color="auto"/>
              <w:right w:val="single" w:sz="8" w:color="auto"/>
            </w:tcBorders>
          </w:tcPr>
          <w:p>
            <w:pPr>
              <w:jc w:val="center"/>
              <w:spacing w:after="0" w:line="174" w:lineRule="exact"/>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3800" w:type="dxa"/>
            <w:vAlign w:val="bottom"/>
            <w:tcBorders>
              <w:right w:val="single" w:sz="8" w:color="auto"/>
            </w:tcBorders>
          </w:tcPr>
          <w:p>
            <w:pPr>
              <w:jc w:val="center"/>
              <w:spacing w:after="0" w:line="174" w:lineRule="exact"/>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3700" w:type="dxa"/>
            <w:vAlign w:val="bottom"/>
            <w:tcBorders>
              <w:right w:val="single" w:sz="8" w:color="auto"/>
            </w:tcBorders>
          </w:tcPr>
          <w:p>
            <w:pPr>
              <w:jc w:val="center"/>
              <w:spacing w:after="0" w:line="174" w:lineRule="exact"/>
              <w:rPr>
                <w:sz w:val="20"/>
                <w:szCs w:val="20"/>
                <w:color w:val="auto"/>
              </w:rPr>
            </w:pPr>
            <w:r>
              <w:rPr>
                <w:rFonts w:ascii="Times New Roman" w:cs="Times New Roman" w:eastAsia="Times New Roman" w:hAnsi="Times New Roman"/>
                <w:sz w:val="18"/>
                <w:szCs w:val="18"/>
                <w:b w:val="1"/>
                <w:bCs w:val="1"/>
                <w:color w:val="auto"/>
                <w:w w:val="99"/>
              </w:rPr>
              <w:t>Name of each exchange on which</w:t>
            </w:r>
          </w:p>
        </w:tc>
      </w:tr>
      <w:tr>
        <w:trPr>
          <w:trHeight w:val="238"/>
        </w:trPr>
        <w:tc>
          <w:tcPr>
            <w:tcW w:w="3740" w:type="dxa"/>
            <w:vAlign w:val="bottom"/>
            <w:tcBorders>
              <w:left w:val="single" w:sz="8" w:color="auto"/>
              <w:bottom w:val="single" w:sz="8" w:color="auto"/>
              <w:right w:val="single" w:sz="8" w:color="auto"/>
            </w:tcBorders>
          </w:tcPr>
          <w:p>
            <w:pPr>
              <w:spacing w:after="0"/>
              <w:rPr>
                <w:sz w:val="20"/>
                <w:szCs w:val="20"/>
                <w:color w:val="auto"/>
              </w:rPr>
            </w:pPr>
          </w:p>
        </w:tc>
        <w:tc>
          <w:tcPr>
            <w:tcW w:w="3800" w:type="dxa"/>
            <w:vAlign w:val="bottom"/>
            <w:tcBorders>
              <w:bottom w:val="single" w:sz="8" w:color="auto"/>
              <w:right w:val="single" w:sz="8" w:color="auto"/>
            </w:tcBorders>
          </w:tcPr>
          <w:p>
            <w:pPr>
              <w:spacing w:after="0"/>
              <w:rPr>
                <w:sz w:val="20"/>
                <w:szCs w:val="20"/>
                <w:color w:val="auto"/>
              </w:rPr>
            </w:pPr>
          </w:p>
        </w:tc>
        <w:tc>
          <w:tcPr>
            <w:tcW w:w="3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registered</w:t>
            </w:r>
          </w:p>
        </w:tc>
      </w:tr>
      <w:tr>
        <w:trPr>
          <w:trHeight w:val="210"/>
        </w:trPr>
        <w:tc>
          <w:tcPr>
            <w:tcW w:w="37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Par Value $0.001 Per Share</w:t>
            </w:r>
          </w:p>
        </w:tc>
        <w:tc>
          <w:tcPr>
            <w:tcW w:w="38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TCMD</w:t>
            </w:r>
          </w:p>
        </w:tc>
        <w:tc>
          <w:tcPr>
            <w:tcW w:w="3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The Nasdaq Stock Market LLC</w:t>
            </w:r>
          </w:p>
        </w:tc>
      </w:tr>
    </w:tbl>
    <w:p>
      <w:pPr>
        <w:spacing w:after="0" w:line="198" w:lineRule="exact"/>
        <w:rPr>
          <w:sz w:val="24"/>
          <w:szCs w:val="24"/>
          <w:color w:val="auto"/>
        </w:rPr>
      </w:pPr>
    </w:p>
    <w:p>
      <w:pPr>
        <w:jc w:val="both"/>
        <w:ind w:right="2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Emerging growth company</w:t>
      </w:r>
    </w:p>
    <w:p>
      <w:pPr>
        <w:spacing w:after="0" w:line="179"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596900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27" w:right="339" w:bottom="1440" w:gutter="0" w:footer="0" w:header="0"/>
        </w:sectPr>
      </w:pPr>
    </w:p>
    <w:bookmarkStart w:id="1" w:name="page2"/>
    <w:bookmarkEnd w:id="1"/>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5.07.</w:t>
      </w:r>
      <w:r>
        <w:rPr>
          <w:sz w:val="20"/>
          <w:szCs w:val="20"/>
          <w:color w:val="auto"/>
        </w:rPr>
        <w:tab/>
      </w:r>
      <w:r>
        <w:rPr>
          <w:rFonts w:ascii="Times New Roman" w:cs="Times New Roman" w:eastAsia="Times New Roman" w:hAnsi="Times New Roman"/>
          <w:sz w:val="17"/>
          <w:szCs w:val="17"/>
          <w:b w:val="1"/>
          <w:bCs w:val="1"/>
          <w:u w:val="single" w:color="auto"/>
          <w:color w:val="auto"/>
        </w:rPr>
        <w:t>Submission of Matters to a Vote of Security Holders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On May 9, 2022, Tactile Systems Technology, Inc. (the “Company”) held its 2022 Annual Meeting of Stockholders and the Company’s stockholders voted on the following matters: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Election of Directors</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following nominees were elected to serve as directors for a term that will last until the Company’s 2023 Annual Meeting of Stockholders or until his or her successor is duly elected and qualified. The number of votes cast for and withheld from each nominee and the number of broker non-votes with respect to each nominee were as follows:</w:t>
      </w:r>
    </w:p>
    <w:p>
      <w:pPr>
        <w:spacing w:after="0" w:line="189" w:lineRule="exact"/>
        <w:rPr>
          <w:sz w:val="20"/>
          <w:szCs w:val="20"/>
          <w:color w:val="auto"/>
        </w:rPr>
      </w:pPr>
    </w:p>
    <w:tbl>
      <w:tblPr>
        <w:tblLayout w:type="fixed"/>
        <w:tblInd w:w="580" w:type="dxa"/>
        <w:tblCellMar>
          <w:top w:w="0" w:type="dxa"/>
          <w:left w:w="0" w:type="dxa"/>
          <w:bottom w:w="0" w:type="dxa"/>
          <w:right w:w="0" w:type="dxa"/>
        </w:tblCellMar>
      </w:tblPr>
      <w:tr>
        <w:trPr>
          <w:trHeight w:val="234"/>
        </w:trPr>
        <w:tc>
          <w:tcPr>
            <w:tcW w:w="2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Name</w:t>
            </w:r>
          </w:p>
        </w:tc>
        <w:tc>
          <w:tcPr>
            <w:tcW w:w="25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w w:val="95"/>
              </w:rPr>
              <w:t>Votes For</w:t>
            </w:r>
          </w:p>
        </w:tc>
        <w:tc>
          <w:tcPr>
            <w:tcW w:w="25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6"/>
              </w:rPr>
              <w:t>Votes Withheld</w:t>
            </w:r>
          </w:p>
        </w:tc>
        <w:tc>
          <w:tcPr>
            <w:tcW w:w="2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Broker Non-Votes</w:t>
            </w:r>
          </w:p>
        </w:tc>
      </w:tr>
      <w:tr>
        <w:trPr>
          <w:trHeight w:val="210"/>
        </w:trPr>
        <w:tc>
          <w:tcPr>
            <w:tcW w:w="25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Valerie L. Asbury</w:t>
            </w:r>
          </w:p>
        </w:tc>
        <w:tc>
          <w:tcPr>
            <w:tcW w:w="100" w:type="dxa"/>
            <w:vAlign w:val="bottom"/>
            <w:tcBorders>
              <w:top w:val="single" w:sz="8" w:color="CCEEFF"/>
            </w:tcBorders>
            <w:shd w:val="clear" w:color="auto" w:fill="CCEEFF"/>
          </w:tcPr>
          <w:p>
            <w:pPr>
              <w:spacing w:after="0"/>
              <w:rPr>
                <w:sz w:val="18"/>
                <w:szCs w:val="18"/>
                <w:color w:val="auto"/>
              </w:rPr>
            </w:pPr>
          </w:p>
        </w:tc>
        <w:tc>
          <w:tcPr>
            <w:tcW w:w="244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15,425,517</w:t>
            </w:r>
          </w:p>
        </w:tc>
        <w:tc>
          <w:tcPr>
            <w:tcW w:w="80" w:type="dxa"/>
            <w:vAlign w:val="bottom"/>
            <w:tcBorders>
              <w:top w:val="single" w:sz="8" w:color="CCEEFF"/>
            </w:tcBorders>
            <w:shd w:val="clear" w:color="auto" w:fill="CCEEFF"/>
          </w:tcPr>
          <w:p>
            <w:pPr>
              <w:spacing w:after="0"/>
              <w:rPr>
                <w:sz w:val="18"/>
                <w:szCs w:val="18"/>
                <w:color w:val="auto"/>
              </w:rPr>
            </w:pPr>
          </w:p>
        </w:tc>
        <w:tc>
          <w:tcPr>
            <w:tcW w:w="242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141,945</w:t>
            </w:r>
          </w:p>
        </w:tc>
        <w:tc>
          <w:tcPr>
            <w:tcW w:w="100" w:type="dxa"/>
            <w:vAlign w:val="bottom"/>
            <w:tcBorders>
              <w:top w:val="single" w:sz="8" w:color="CCEEFF"/>
            </w:tcBorders>
            <w:shd w:val="clear" w:color="auto" w:fill="CCEEFF"/>
          </w:tcPr>
          <w:p>
            <w:pPr>
              <w:spacing w:after="0"/>
              <w:rPr>
                <w:sz w:val="18"/>
                <w:szCs w:val="18"/>
                <w:color w:val="auto"/>
              </w:rPr>
            </w:pPr>
          </w:p>
        </w:tc>
        <w:tc>
          <w:tcPr>
            <w:tcW w:w="242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1,758,271</w:t>
            </w:r>
          </w:p>
        </w:tc>
      </w:tr>
      <w:tr>
        <w:trPr>
          <w:trHeight w:val="216"/>
        </w:trPr>
        <w:tc>
          <w:tcPr>
            <w:tcW w:w="2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William W. Burke</w:t>
            </w:r>
          </w:p>
        </w:tc>
        <w:tc>
          <w:tcPr>
            <w:tcW w:w="24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15,193,459</w:t>
            </w:r>
          </w:p>
        </w:tc>
        <w:tc>
          <w:tcPr>
            <w:tcW w:w="80" w:type="dxa"/>
            <w:vAlign w:val="bottom"/>
          </w:tcPr>
          <w:p>
            <w:pPr>
              <w:spacing w:after="0"/>
              <w:rPr>
                <w:sz w:val="18"/>
                <w:szCs w:val="18"/>
                <w:color w:val="auto"/>
              </w:rPr>
            </w:pPr>
          </w:p>
        </w:tc>
        <w:tc>
          <w:tcPr>
            <w:tcW w:w="2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374,003</w:t>
            </w:r>
          </w:p>
        </w:tc>
        <w:tc>
          <w:tcPr>
            <w:tcW w:w="100" w:type="dxa"/>
            <w:vAlign w:val="bottom"/>
          </w:tcPr>
          <w:p>
            <w:pPr>
              <w:spacing w:after="0"/>
              <w:rPr>
                <w:sz w:val="18"/>
                <w:szCs w:val="18"/>
                <w:color w:val="auto"/>
              </w:rPr>
            </w:pPr>
          </w:p>
        </w:tc>
        <w:tc>
          <w:tcPr>
            <w:tcW w:w="2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1,758,271</w:t>
            </w:r>
          </w:p>
        </w:tc>
      </w:tr>
      <w:tr>
        <w:trPr>
          <w:trHeight w:val="216"/>
        </w:trPr>
        <w:tc>
          <w:tcPr>
            <w:tcW w:w="2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Sheri L. Dodd</w:t>
            </w:r>
          </w:p>
        </w:tc>
        <w:tc>
          <w:tcPr>
            <w:tcW w:w="24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15,375,690</w:t>
            </w:r>
          </w:p>
        </w:tc>
        <w:tc>
          <w:tcPr>
            <w:tcW w:w="80" w:type="dxa"/>
            <w:vAlign w:val="bottom"/>
            <w:shd w:val="clear" w:color="auto" w:fill="CCEEFF"/>
          </w:tcPr>
          <w:p>
            <w:pPr>
              <w:spacing w:after="0"/>
              <w:rPr>
                <w:sz w:val="18"/>
                <w:szCs w:val="18"/>
                <w:color w:val="auto"/>
              </w:rPr>
            </w:pPr>
          </w:p>
        </w:tc>
        <w:tc>
          <w:tcPr>
            <w:tcW w:w="24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191,772</w:t>
            </w:r>
          </w:p>
        </w:tc>
        <w:tc>
          <w:tcPr>
            <w:tcW w:w="100" w:type="dxa"/>
            <w:vAlign w:val="bottom"/>
            <w:shd w:val="clear" w:color="auto" w:fill="CCEEFF"/>
          </w:tcPr>
          <w:p>
            <w:pPr>
              <w:spacing w:after="0"/>
              <w:rPr>
                <w:sz w:val="18"/>
                <w:szCs w:val="18"/>
                <w:color w:val="auto"/>
              </w:rPr>
            </w:pPr>
          </w:p>
        </w:tc>
        <w:tc>
          <w:tcPr>
            <w:tcW w:w="24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1,758,271</w:t>
            </w:r>
          </w:p>
        </w:tc>
      </w:tr>
      <w:tr>
        <w:trPr>
          <w:trHeight w:val="216"/>
        </w:trPr>
        <w:tc>
          <w:tcPr>
            <w:tcW w:w="2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Raymond O. Huggenberger</w:t>
            </w:r>
          </w:p>
        </w:tc>
        <w:tc>
          <w:tcPr>
            <w:tcW w:w="24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14,826,540</w:t>
            </w:r>
          </w:p>
        </w:tc>
        <w:tc>
          <w:tcPr>
            <w:tcW w:w="80" w:type="dxa"/>
            <w:vAlign w:val="bottom"/>
          </w:tcPr>
          <w:p>
            <w:pPr>
              <w:spacing w:after="0"/>
              <w:rPr>
                <w:sz w:val="18"/>
                <w:szCs w:val="18"/>
                <w:color w:val="auto"/>
              </w:rPr>
            </w:pPr>
          </w:p>
        </w:tc>
        <w:tc>
          <w:tcPr>
            <w:tcW w:w="2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740,922</w:t>
            </w:r>
          </w:p>
        </w:tc>
        <w:tc>
          <w:tcPr>
            <w:tcW w:w="100" w:type="dxa"/>
            <w:vAlign w:val="bottom"/>
          </w:tcPr>
          <w:p>
            <w:pPr>
              <w:spacing w:after="0"/>
              <w:rPr>
                <w:sz w:val="18"/>
                <w:szCs w:val="18"/>
                <w:color w:val="auto"/>
              </w:rPr>
            </w:pPr>
          </w:p>
        </w:tc>
        <w:tc>
          <w:tcPr>
            <w:tcW w:w="2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1,758,271</w:t>
            </w:r>
          </w:p>
        </w:tc>
      </w:tr>
      <w:tr>
        <w:trPr>
          <w:trHeight w:val="216"/>
        </w:trPr>
        <w:tc>
          <w:tcPr>
            <w:tcW w:w="2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Deepti Jain</w:t>
            </w:r>
          </w:p>
        </w:tc>
        <w:tc>
          <w:tcPr>
            <w:tcW w:w="24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15,098,491</w:t>
            </w:r>
          </w:p>
        </w:tc>
        <w:tc>
          <w:tcPr>
            <w:tcW w:w="80" w:type="dxa"/>
            <w:vAlign w:val="bottom"/>
            <w:shd w:val="clear" w:color="auto" w:fill="CCEEFF"/>
          </w:tcPr>
          <w:p>
            <w:pPr>
              <w:spacing w:after="0"/>
              <w:rPr>
                <w:sz w:val="18"/>
                <w:szCs w:val="18"/>
                <w:color w:val="auto"/>
              </w:rPr>
            </w:pPr>
          </w:p>
        </w:tc>
        <w:tc>
          <w:tcPr>
            <w:tcW w:w="24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468,971</w:t>
            </w:r>
          </w:p>
        </w:tc>
        <w:tc>
          <w:tcPr>
            <w:tcW w:w="100" w:type="dxa"/>
            <w:vAlign w:val="bottom"/>
            <w:shd w:val="clear" w:color="auto" w:fill="CCEEFF"/>
          </w:tcPr>
          <w:p>
            <w:pPr>
              <w:spacing w:after="0"/>
              <w:rPr>
                <w:sz w:val="18"/>
                <w:szCs w:val="18"/>
                <w:color w:val="auto"/>
              </w:rPr>
            </w:pPr>
          </w:p>
        </w:tc>
        <w:tc>
          <w:tcPr>
            <w:tcW w:w="24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1,758,271</w:t>
            </w:r>
          </w:p>
        </w:tc>
      </w:tr>
      <w:tr>
        <w:trPr>
          <w:trHeight w:val="216"/>
        </w:trPr>
        <w:tc>
          <w:tcPr>
            <w:tcW w:w="2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Daniel L. Reuvers</w:t>
            </w:r>
          </w:p>
        </w:tc>
        <w:tc>
          <w:tcPr>
            <w:tcW w:w="24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15,293,019</w:t>
            </w:r>
          </w:p>
        </w:tc>
        <w:tc>
          <w:tcPr>
            <w:tcW w:w="80" w:type="dxa"/>
            <w:vAlign w:val="bottom"/>
          </w:tcPr>
          <w:p>
            <w:pPr>
              <w:spacing w:after="0"/>
              <w:rPr>
                <w:sz w:val="18"/>
                <w:szCs w:val="18"/>
                <w:color w:val="auto"/>
              </w:rPr>
            </w:pPr>
          </w:p>
        </w:tc>
        <w:tc>
          <w:tcPr>
            <w:tcW w:w="2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274,443</w:t>
            </w:r>
          </w:p>
        </w:tc>
        <w:tc>
          <w:tcPr>
            <w:tcW w:w="100" w:type="dxa"/>
            <w:vAlign w:val="bottom"/>
          </w:tcPr>
          <w:p>
            <w:pPr>
              <w:spacing w:after="0"/>
              <w:rPr>
                <w:sz w:val="18"/>
                <w:szCs w:val="18"/>
                <w:color w:val="auto"/>
              </w:rPr>
            </w:pPr>
          </w:p>
        </w:tc>
        <w:tc>
          <w:tcPr>
            <w:tcW w:w="2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1,758,271</w:t>
            </w:r>
          </w:p>
        </w:tc>
      </w:tr>
      <w:tr>
        <w:trPr>
          <w:trHeight w:val="216"/>
        </w:trPr>
        <w:tc>
          <w:tcPr>
            <w:tcW w:w="2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 Brent Shafer</w:t>
            </w:r>
          </w:p>
        </w:tc>
        <w:tc>
          <w:tcPr>
            <w:tcW w:w="24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15,414,435</w:t>
            </w:r>
          </w:p>
        </w:tc>
        <w:tc>
          <w:tcPr>
            <w:tcW w:w="80" w:type="dxa"/>
            <w:vAlign w:val="bottom"/>
            <w:shd w:val="clear" w:color="auto" w:fill="CCEEFF"/>
          </w:tcPr>
          <w:p>
            <w:pPr>
              <w:spacing w:after="0"/>
              <w:rPr>
                <w:sz w:val="18"/>
                <w:szCs w:val="18"/>
                <w:color w:val="auto"/>
              </w:rPr>
            </w:pPr>
          </w:p>
        </w:tc>
        <w:tc>
          <w:tcPr>
            <w:tcW w:w="24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153,027</w:t>
            </w:r>
          </w:p>
        </w:tc>
        <w:tc>
          <w:tcPr>
            <w:tcW w:w="100" w:type="dxa"/>
            <w:vAlign w:val="bottom"/>
            <w:shd w:val="clear" w:color="auto" w:fill="CCEEFF"/>
          </w:tcPr>
          <w:p>
            <w:pPr>
              <w:spacing w:after="0"/>
              <w:rPr>
                <w:sz w:val="18"/>
                <w:szCs w:val="18"/>
                <w:color w:val="auto"/>
              </w:rPr>
            </w:pPr>
          </w:p>
        </w:tc>
        <w:tc>
          <w:tcPr>
            <w:tcW w:w="24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1,758,271</w:t>
            </w: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Ratification of the Selection of Grant Thornton LLP as the Company’s Independent Auditor for 2022</w:t>
      </w:r>
    </w:p>
    <w:p>
      <w:pPr>
        <w:spacing w:after="0" w:line="2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The Company’s stockholders ratified the appointment by the Audit Committee of the Company’s Board of Directors of Grant Thornton LLP as the</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Company’s independent registered public accounting firm for the year ending December 31, 2022 by voting as follows:</w:t>
      </w:r>
    </w:p>
    <w:p>
      <w:pPr>
        <w:spacing w:after="0" w:line="220" w:lineRule="exact"/>
        <w:rPr>
          <w:sz w:val="20"/>
          <w:szCs w:val="20"/>
          <w:color w:val="auto"/>
        </w:rPr>
      </w:pPr>
    </w:p>
    <w:tbl>
      <w:tblPr>
        <w:tblLayout w:type="fixed"/>
        <w:tblInd w:w="580" w:type="dxa"/>
        <w:tblCellMar>
          <w:top w:w="0" w:type="dxa"/>
          <w:left w:w="0" w:type="dxa"/>
          <w:bottom w:w="0" w:type="dxa"/>
          <w:right w:w="0" w:type="dxa"/>
        </w:tblCellMar>
      </w:tblPr>
      <w:tr>
        <w:trPr>
          <w:trHeight w:val="234"/>
        </w:trPr>
        <w:tc>
          <w:tcPr>
            <w:tcW w:w="2640" w:type="dxa"/>
            <w:vAlign w:val="bottom"/>
            <w:gridSpan w:val="2"/>
          </w:tcPr>
          <w:p>
            <w:pPr>
              <w:ind w:left="1140"/>
              <w:spacing w:after="0"/>
              <w:rPr>
                <w:sz w:val="20"/>
                <w:szCs w:val="20"/>
                <w:color w:val="auto"/>
              </w:rPr>
            </w:pPr>
            <w:r>
              <w:rPr>
                <w:rFonts w:ascii="Times New Roman" w:cs="Times New Roman" w:eastAsia="Times New Roman" w:hAnsi="Times New Roman"/>
                <w:sz w:val="18"/>
                <w:szCs w:val="18"/>
                <w:color w:val="auto"/>
              </w:rPr>
              <w:t>For</w:t>
            </w:r>
          </w:p>
        </w:tc>
        <w:tc>
          <w:tcPr>
            <w:tcW w:w="2520" w:type="dxa"/>
            <w:vAlign w:val="bottom"/>
            <w:gridSpan w:val="2"/>
          </w:tcPr>
          <w:p>
            <w:pPr>
              <w:ind w:left="940"/>
              <w:spacing w:after="0"/>
              <w:rPr>
                <w:sz w:val="20"/>
                <w:szCs w:val="20"/>
                <w:color w:val="auto"/>
              </w:rPr>
            </w:pPr>
            <w:r>
              <w:rPr>
                <w:rFonts w:ascii="Times New Roman" w:cs="Times New Roman" w:eastAsia="Times New Roman" w:hAnsi="Times New Roman"/>
                <w:sz w:val="18"/>
                <w:szCs w:val="18"/>
                <w:color w:val="auto"/>
              </w:rPr>
              <w:t>Against</w:t>
            </w:r>
          </w:p>
        </w:tc>
        <w:tc>
          <w:tcPr>
            <w:tcW w:w="2520" w:type="dxa"/>
            <w:vAlign w:val="bottom"/>
            <w:gridSpan w:val="2"/>
          </w:tcPr>
          <w:p>
            <w:pPr>
              <w:ind w:left="940"/>
              <w:spacing w:after="0"/>
              <w:rPr>
                <w:sz w:val="20"/>
                <w:szCs w:val="20"/>
                <w:color w:val="auto"/>
              </w:rPr>
            </w:pPr>
            <w:r>
              <w:rPr>
                <w:rFonts w:ascii="Times New Roman" w:cs="Times New Roman" w:eastAsia="Times New Roman" w:hAnsi="Times New Roman"/>
                <w:sz w:val="18"/>
                <w:szCs w:val="18"/>
                <w:color w:val="auto"/>
              </w:rPr>
              <w:t>Abstain</w:t>
            </w:r>
          </w:p>
        </w:tc>
        <w:tc>
          <w:tcPr>
            <w:tcW w:w="242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Broker Non-Votes</w:t>
            </w:r>
          </w:p>
        </w:tc>
      </w:tr>
      <w:tr>
        <w:trPr>
          <w:trHeight w:val="210"/>
        </w:trPr>
        <w:tc>
          <w:tcPr>
            <w:tcW w:w="2540" w:type="dxa"/>
            <w:vAlign w:val="bottom"/>
            <w:tcBorders>
              <w:top w:val="single" w:sz="8" w:color="auto"/>
            </w:tcBorders>
            <w:shd w:val="clear" w:color="auto" w:fill="CCEEFF"/>
          </w:tcPr>
          <w:p>
            <w:pPr>
              <w:jc w:val="right"/>
              <w:ind w:right="730"/>
              <w:spacing w:after="0"/>
              <w:rPr>
                <w:sz w:val="20"/>
                <w:szCs w:val="20"/>
                <w:color w:val="auto"/>
              </w:rPr>
            </w:pPr>
            <w:r>
              <w:rPr>
                <w:rFonts w:ascii="Times New Roman" w:cs="Times New Roman" w:eastAsia="Times New Roman" w:hAnsi="Times New Roman"/>
                <w:sz w:val="18"/>
                <w:szCs w:val="18"/>
                <w:color w:val="auto"/>
              </w:rPr>
              <w:t>17,198,874</w:t>
            </w:r>
          </w:p>
        </w:tc>
        <w:tc>
          <w:tcPr>
            <w:tcW w:w="100" w:type="dxa"/>
            <w:vAlign w:val="bottom"/>
            <w:tcBorders>
              <w:top w:val="single" w:sz="8" w:color="CCEEFF"/>
            </w:tcBorders>
            <w:shd w:val="clear" w:color="auto" w:fill="CCEEFF"/>
          </w:tcPr>
          <w:p>
            <w:pPr>
              <w:spacing w:after="0"/>
              <w:rPr>
                <w:sz w:val="18"/>
                <w:szCs w:val="18"/>
                <w:color w:val="auto"/>
              </w:rPr>
            </w:pPr>
          </w:p>
        </w:tc>
        <w:tc>
          <w:tcPr>
            <w:tcW w:w="2440" w:type="dxa"/>
            <w:vAlign w:val="bottom"/>
            <w:tcBorders>
              <w:top w:val="single" w:sz="8" w:color="auto"/>
            </w:tcBorders>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115,034</w:t>
            </w:r>
          </w:p>
        </w:tc>
        <w:tc>
          <w:tcPr>
            <w:tcW w:w="80" w:type="dxa"/>
            <w:vAlign w:val="bottom"/>
            <w:tcBorders>
              <w:top w:val="single" w:sz="8" w:color="CCEEFF"/>
            </w:tcBorders>
            <w:shd w:val="clear" w:color="auto" w:fill="CCEEFF"/>
          </w:tcPr>
          <w:p>
            <w:pPr>
              <w:spacing w:after="0"/>
              <w:rPr>
                <w:sz w:val="18"/>
                <w:szCs w:val="18"/>
                <w:color w:val="auto"/>
              </w:rPr>
            </w:pPr>
          </w:p>
        </w:tc>
        <w:tc>
          <w:tcPr>
            <w:tcW w:w="2420" w:type="dxa"/>
            <w:vAlign w:val="bottom"/>
            <w:tcBorders>
              <w:top w:val="single" w:sz="8" w:color="auto"/>
            </w:tcBorders>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rPr>
              <w:t>11,825</w:t>
            </w:r>
          </w:p>
        </w:tc>
        <w:tc>
          <w:tcPr>
            <w:tcW w:w="100" w:type="dxa"/>
            <w:vAlign w:val="bottom"/>
            <w:tcBorders>
              <w:top w:val="single" w:sz="8" w:color="CCEEFF"/>
            </w:tcBorders>
            <w:shd w:val="clear" w:color="auto" w:fill="CCEEFF"/>
          </w:tcPr>
          <w:p>
            <w:pPr>
              <w:spacing w:after="0"/>
              <w:rPr>
                <w:sz w:val="18"/>
                <w:szCs w:val="18"/>
                <w:color w:val="auto"/>
              </w:rPr>
            </w:pPr>
          </w:p>
        </w:tc>
        <w:tc>
          <w:tcPr>
            <w:tcW w:w="2420" w:type="dxa"/>
            <w:vAlign w:val="bottom"/>
            <w:tcBorders>
              <w:top w:val="single" w:sz="8" w:color="auto"/>
            </w:tcBorders>
            <w:shd w:val="clear" w:color="auto" w:fill="CCEEFF"/>
          </w:tcPr>
          <w:p>
            <w:pPr>
              <w:jc w:val="right"/>
              <w:ind w:right="1030"/>
              <w:spacing w:after="0"/>
              <w:rPr>
                <w:sz w:val="20"/>
                <w:szCs w:val="20"/>
                <w:color w:val="auto"/>
              </w:rPr>
            </w:pPr>
            <w:r>
              <w:rPr>
                <w:rFonts w:ascii="Times New Roman" w:cs="Times New Roman" w:eastAsia="Times New Roman" w:hAnsi="Times New Roman"/>
                <w:sz w:val="18"/>
                <w:szCs w:val="18"/>
                <w:color w:val="auto"/>
              </w:rPr>
              <w:t>0</w:t>
            </w: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Advisory Vote on Approval of the Compensation of the Company’s Named Executive Officers</w:t>
      </w:r>
    </w:p>
    <w:p>
      <w:pPr>
        <w:spacing w:after="0" w:line="2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Company’s stockholders approved, on an advisory basis, the compensation of the Company’s named executive officers by voting as follows: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2640" w:type="dxa"/>
            <w:vAlign w:val="bottom"/>
            <w:gridSpan w:val="2"/>
          </w:tcPr>
          <w:p>
            <w:pPr>
              <w:ind w:left="1140"/>
              <w:spacing w:after="0"/>
              <w:rPr>
                <w:sz w:val="20"/>
                <w:szCs w:val="20"/>
                <w:color w:val="auto"/>
              </w:rPr>
            </w:pPr>
            <w:r>
              <w:rPr>
                <w:rFonts w:ascii="Times New Roman" w:cs="Times New Roman" w:eastAsia="Times New Roman" w:hAnsi="Times New Roman"/>
                <w:sz w:val="18"/>
                <w:szCs w:val="18"/>
                <w:color w:val="auto"/>
              </w:rPr>
              <w:t>For</w:t>
            </w:r>
          </w:p>
        </w:tc>
        <w:tc>
          <w:tcPr>
            <w:tcW w:w="2520" w:type="dxa"/>
            <w:vAlign w:val="bottom"/>
            <w:gridSpan w:val="2"/>
          </w:tcPr>
          <w:p>
            <w:pPr>
              <w:ind w:left="940"/>
              <w:spacing w:after="0"/>
              <w:rPr>
                <w:sz w:val="20"/>
                <w:szCs w:val="20"/>
                <w:color w:val="auto"/>
              </w:rPr>
            </w:pPr>
            <w:r>
              <w:rPr>
                <w:rFonts w:ascii="Times New Roman" w:cs="Times New Roman" w:eastAsia="Times New Roman" w:hAnsi="Times New Roman"/>
                <w:sz w:val="18"/>
                <w:szCs w:val="18"/>
                <w:color w:val="auto"/>
              </w:rPr>
              <w:t>Against</w:t>
            </w:r>
          </w:p>
        </w:tc>
        <w:tc>
          <w:tcPr>
            <w:tcW w:w="2520" w:type="dxa"/>
            <w:vAlign w:val="bottom"/>
            <w:gridSpan w:val="2"/>
          </w:tcPr>
          <w:p>
            <w:pPr>
              <w:ind w:left="940"/>
              <w:spacing w:after="0"/>
              <w:rPr>
                <w:sz w:val="20"/>
                <w:szCs w:val="20"/>
                <w:color w:val="auto"/>
              </w:rPr>
            </w:pPr>
            <w:r>
              <w:rPr>
                <w:rFonts w:ascii="Times New Roman" w:cs="Times New Roman" w:eastAsia="Times New Roman" w:hAnsi="Times New Roman"/>
                <w:sz w:val="18"/>
                <w:szCs w:val="18"/>
                <w:color w:val="auto"/>
              </w:rPr>
              <w:t>Abstain</w:t>
            </w:r>
          </w:p>
        </w:tc>
        <w:tc>
          <w:tcPr>
            <w:tcW w:w="242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Broker Non-Votes</w:t>
            </w:r>
          </w:p>
        </w:tc>
        <w:tc>
          <w:tcPr>
            <w:tcW w:w="560" w:type="dxa"/>
            <w:vAlign w:val="bottom"/>
          </w:tcPr>
          <w:p>
            <w:pPr>
              <w:spacing w:after="0"/>
              <w:rPr>
                <w:sz w:val="20"/>
                <w:szCs w:val="20"/>
                <w:color w:val="auto"/>
              </w:rPr>
            </w:pPr>
          </w:p>
        </w:tc>
      </w:tr>
      <w:tr>
        <w:trPr>
          <w:trHeight w:val="209"/>
        </w:trPr>
        <w:tc>
          <w:tcPr>
            <w:tcW w:w="580" w:type="dxa"/>
            <w:vAlign w:val="bottom"/>
          </w:tcPr>
          <w:p>
            <w:pPr>
              <w:spacing w:after="0"/>
              <w:rPr>
                <w:sz w:val="18"/>
                <w:szCs w:val="18"/>
                <w:color w:val="auto"/>
              </w:rPr>
            </w:pPr>
          </w:p>
        </w:tc>
        <w:tc>
          <w:tcPr>
            <w:tcW w:w="2540" w:type="dxa"/>
            <w:vAlign w:val="bottom"/>
            <w:tcBorders>
              <w:top w:val="single" w:sz="8" w:color="auto"/>
            </w:tcBorders>
            <w:shd w:val="clear" w:color="auto" w:fill="CCEEFF"/>
          </w:tcPr>
          <w:p>
            <w:pPr>
              <w:jc w:val="right"/>
              <w:ind w:right="730"/>
              <w:spacing w:after="0"/>
              <w:rPr>
                <w:sz w:val="20"/>
                <w:szCs w:val="20"/>
                <w:color w:val="auto"/>
              </w:rPr>
            </w:pPr>
            <w:r>
              <w:rPr>
                <w:rFonts w:ascii="Times New Roman" w:cs="Times New Roman" w:eastAsia="Times New Roman" w:hAnsi="Times New Roman"/>
                <w:sz w:val="18"/>
                <w:szCs w:val="18"/>
                <w:color w:val="auto"/>
              </w:rPr>
              <w:t>15,127,920</w:t>
            </w:r>
          </w:p>
        </w:tc>
        <w:tc>
          <w:tcPr>
            <w:tcW w:w="100" w:type="dxa"/>
            <w:vAlign w:val="bottom"/>
            <w:tcBorders>
              <w:top w:val="single" w:sz="8" w:color="CCEEFF"/>
            </w:tcBorders>
            <w:shd w:val="clear" w:color="auto" w:fill="CCEEFF"/>
          </w:tcPr>
          <w:p>
            <w:pPr>
              <w:spacing w:after="0"/>
              <w:rPr>
                <w:sz w:val="18"/>
                <w:szCs w:val="18"/>
                <w:color w:val="auto"/>
              </w:rPr>
            </w:pPr>
          </w:p>
        </w:tc>
        <w:tc>
          <w:tcPr>
            <w:tcW w:w="2440" w:type="dxa"/>
            <w:vAlign w:val="bottom"/>
            <w:tcBorders>
              <w:top w:val="single" w:sz="8" w:color="auto"/>
            </w:tcBorders>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403,898</w:t>
            </w:r>
          </w:p>
        </w:tc>
        <w:tc>
          <w:tcPr>
            <w:tcW w:w="80" w:type="dxa"/>
            <w:vAlign w:val="bottom"/>
            <w:tcBorders>
              <w:top w:val="single" w:sz="8" w:color="CCEEFF"/>
            </w:tcBorders>
            <w:shd w:val="clear" w:color="auto" w:fill="CCEEFF"/>
          </w:tcPr>
          <w:p>
            <w:pPr>
              <w:spacing w:after="0"/>
              <w:rPr>
                <w:sz w:val="18"/>
                <w:szCs w:val="18"/>
                <w:color w:val="auto"/>
              </w:rPr>
            </w:pPr>
          </w:p>
        </w:tc>
        <w:tc>
          <w:tcPr>
            <w:tcW w:w="2420" w:type="dxa"/>
            <w:vAlign w:val="bottom"/>
            <w:tcBorders>
              <w:top w:val="single" w:sz="8" w:color="auto"/>
            </w:tcBorders>
            <w:shd w:val="clear" w:color="auto" w:fill="CCEEFF"/>
          </w:tcPr>
          <w:p>
            <w:pPr>
              <w:jc w:val="right"/>
              <w:ind w:right="830"/>
              <w:spacing w:after="0"/>
              <w:rPr>
                <w:sz w:val="20"/>
                <w:szCs w:val="20"/>
                <w:color w:val="auto"/>
              </w:rPr>
            </w:pPr>
            <w:r>
              <w:rPr>
                <w:rFonts w:ascii="Times New Roman" w:cs="Times New Roman" w:eastAsia="Times New Roman" w:hAnsi="Times New Roman"/>
                <w:sz w:val="18"/>
                <w:szCs w:val="18"/>
                <w:color w:val="auto"/>
              </w:rPr>
              <w:t>35,644</w:t>
            </w:r>
          </w:p>
        </w:tc>
        <w:tc>
          <w:tcPr>
            <w:tcW w:w="100" w:type="dxa"/>
            <w:vAlign w:val="bottom"/>
            <w:tcBorders>
              <w:top w:val="single" w:sz="8" w:color="CCEEFF"/>
            </w:tcBorders>
            <w:shd w:val="clear" w:color="auto" w:fill="CCEEFF"/>
          </w:tcPr>
          <w:p>
            <w:pPr>
              <w:spacing w:after="0"/>
              <w:rPr>
                <w:sz w:val="18"/>
                <w:szCs w:val="18"/>
                <w:color w:val="auto"/>
              </w:rPr>
            </w:pPr>
          </w:p>
        </w:tc>
        <w:tc>
          <w:tcPr>
            <w:tcW w:w="2420" w:type="dxa"/>
            <w:vAlign w:val="bottom"/>
            <w:tcBorders>
              <w:top w:val="single" w:sz="8" w:color="auto"/>
            </w:tcBorders>
            <w:shd w:val="clear" w:color="auto" w:fill="CCEEFF"/>
          </w:tcPr>
          <w:p>
            <w:pPr>
              <w:jc w:val="right"/>
              <w:ind w:right="710"/>
              <w:spacing w:after="0"/>
              <w:rPr>
                <w:sz w:val="20"/>
                <w:szCs w:val="20"/>
                <w:color w:val="auto"/>
              </w:rPr>
            </w:pPr>
            <w:r>
              <w:rPr>
                <w:rFonts w:ascii="Times New Roman" w:cs="Times New Roman" w:eastAsia="Times New Roman" w:hAnsi="Times New Roman"/>
                <w:sz w:val="18"/>
                <w:szCs w:val="18"/>
                <w:color w:val="auto"/>
              </w:rPr>
              <w:t>1,758,271</w:t>
            </w:r>
          </w:p>
        </w:tc>
        <w:tc>
          <w:tcPr>
            <w:tcW w:w="560" w:type="dxa"/>
            <w:vAlign w:val="bottom"/>
          </w:tcPr>
          <w:p>
            <w:pPr>
              <w:spacing w:after="0"/>
              <w:rPr>
                <w:sz w:val="18"/>
                <w:szCs w:val="18"/>
                <w:color w:val="auto"/>
              </w:rPr>
            </w:pPr>
          </w:p>
        </w:tc>
      </w:tr>
      <w:tr>
        <w:trPr>
          <w:trHeight w:val="648"/>
        </w:trPr>
        <w:tc>
          <w:tcPr>
            <w:tcW w:w="5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40" w:type="dxa"/>
            <w:vAlign w:val="bottom"/>
          </w:tcPr>
          <w:p>
            <w:pPr>
              <w:spacing w:after="0"/>
              <w:rPr>
                <w:sz w:val="20"/>
                <w:szCs w:val="20"/>
                <w:color w:val="auto"/>
              </w:rPr>
            </w:pPr>
          </w:p>
        </w:tc>
        <w:tc>
          <w:tcPr>
            <w:tcW w:w="7700" w:type="dxa"/>
            <w:vAlign w:val="bottom"/>
            <w:gridSpan w:val="2"/>
          </w:tcPr>
          <w:p>
            <w:pPr>
              <w:ind w:left="2100"/>
              <w:spacing w:after="0"/>
              <w:rPr>
                <w:sz w:val="20"/>
                <w:szCs w:val="20"/>
                <w:color w:val="auto"/>
              </w:rPr>
            </w:pPr>
            <w:r>
              <w:rPr>
                <w:rFonts w:ascii="Times New Roman" w:cs="Times New Roman" w:eastAsia="Times New Roman" w:hAnsi="Times New Roman"/>
                <w:sz w:val="18"/>
                <w:szCs w:val="18"/>
                <w:b w:val="1"/>
                <w:bCs w:val="1"/>
                <w:color w:val="auto"/>
              </w:rPr>
              <w:t>TACTILE SYSTEMS TECHNOLOGY, INC.</w:t>
            </w:r>
          </w:p>
        </w:tc>
      </w:tr>
      <w:tr>
        <w:trPr>
          <w:trHeight w:val="432"/>
        </w:trPr>
        <w:tc>
          <w:tcPr>
            <w:tcW w:w="3540" w:type="dxa"/>
            <w:vAlign w:val="bottom"/>
          </w:tcPr>
          <w:p>
            <w:pPr>
              <w:spacing w:after="0"/>
              <w:rPr>
                <w:sz w:val="20"/>
                <w:szCs w:val="20"/>
                <w:color w:val="auto"/>
              </w:rPr>
            </w:pPr>
            <w:r>
              <w:rPr>
                <w:rFonts w:ascii="Times New Roman" w:cs="Times New Roman" w:eastAsia="Times New Roman" w:hAnsi="Times New Roman"/>
                <w:sz w:val="18"/>
                <w:szCs w:val="18"/>
                <w:color w:val="auto"/>
              </w:rPr>
              <w:t>Date: May 10, 2022</w:t>
            </w:r>
          </w:p>
        </w:tc>
        <w:tc>
          <w:tcPr>
            <w:tcW w:w="7700" w:type="dxa"/>
            <w:vAlign w:val="bottom"/>
            <w:gridSpan w:val="2"/>
          </w:tcPr>
          <w:p>
            <w:pPr>
              <w:ind w:left="2100"/>
              <w:spacing w:after="0"/>
              <w:rPr>
                <w:sz w:val="20"/>
                <w:szCs w:val="20"/>
                <w:color w:val="auto"/>
              </w:rPr>
            </w:pPr>
            <w:r>
              <w:rPr>
                <w:rFonts w:ascii="Times New Roman" w:cs="Times New Roman" w:eastAsia="Times New Roman" w:hAnsi="Times New Roman"/>
                <w:sz w:val="18"/>
                <w:szCs w:val="18"/>
                <w:color w:val="auto"/>
              </w:rPr>
              <w:t xml:space="preserve">By: /s/ </w:t>
            </w:r>
            <w:r>
              <w:rPr>
                <w:rFonts w:ascii="Times New Roman" w:cs="Times New Roman" w:eastAsia="Times New Roman" w:hAnsi="Times New Roman"/>
                <w:sz w:val="18"/>
                <w:szCs w:val="18"/>
                <w:i w:val="1"/>
                <w:iCs w:val="1"/>
                <w:color w:val="auto"/>
              </w:rPr>
              <w:t>Brent A. Moen</w:t>
            </w:r>
          </w:p>
        </w:tc>
      </w:tr>
      <w:tr>
        <w:trPr>
          <w:trHeight w:val="189"/>
        </w:trPr>
        <w:tc>
          <w:tcPr>
            <w:tcW w:w="3540" w:type="dxa"/>
            <w:vAlign w:val="bottom"/>
          </w:tcPr>
          <w:p>
            <w:pPr>
              <w:spacing w:after="0"/>
              <w:rPr>
                <w:sz w:val="16"/>
                <w:szCs w:val="16"/>
                <w:color w:val="auto"/>
              </w:rPr>
            </w:pPr>
          </w:p>
        </w:tc>
        <w:tc>
          <w:tcPr>
            <w:tcW w:w="2420" w:type="dxa"/>
            <w:vAlign w:val="bottom"/>
          </w:tcPr>
          <w:p>
            <w:pPr>
              <w:spacing w:after="0"/>
              <w:rPr>
                <w:sz w:val="16"/>
                <w:szCs w:val="16"/>
                <w:color w:val="auto"/>
              </w:rPr>
            </w:pPr>
          </w:p>
        </w:tc>
        <w:tc>
          <w:tcPr>
            <w:tcW w:w="5280" w:type="dxa"/>
            <w:vAlign w:val="bottom"/>
            <w:tcBorders>
              <w:top w:val="single" w:sz="8" w:color="auto"/>
            </w:tcBorders>
          </w:tcPr>
          <w:p>
            <w:pPr>
              <w:spacing w:after="0" w:line="189" w:lineRule="exact"/>
              <w:rPr>
                <w:sz w:val="20"/>
                <w:szCs w:val="20"/>
                <w:color w:val="auto"/>
              </w:rPr>
            </w:pPr>
            <w:r>
              <w:rPr>
                <w:rFonts w:ascii="Times New Roman" w:cs="Times New Roman" w:eastAsia="Times New Roman" w:hAnsi="Times New Roman"/>
                <w:sz w:val="18"/>
                <w:szCs w:val="18"/>
                <w:color w:val="auto"/>
              </w:rPr>
              <w:t>Brent A. Moen</w:t>
            </w:r>
          </w:p>
        </w:tc>
      </w:tr>
      <w:tr>
        <w:trPr>
          <w:trHeight w:val="236"/>
        </w:trPr>
        <w:tc>
          <w:tcPr>
            <w:tcW w:w="354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Chief Financial Officer</w:t>
            </w:r>
          </w:p>
        </w:tc>
      </w:tr>
      <w:tr>
        <w:trPr>
          <w:trHeight w:val="675"/>
        </w:trPr>
        <w:tc>
          <w:tcPr>
            <w:tcW w:w="354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87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2022-05-10T15:39:57Z</dcterms:created>
  <dcterms:modified xsi:type="dcterms:W3CDTF">2022-05-10T15:39:57Z</dcterms:modified>
</cp:coreProperties>
</file>