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903605</wp:posOffset>
            </wp:positionH>
            <wp:positionV relativeFrom="page">
              <wp:posOffset>157480</wp:posOffset>
            </wp:positionV>
            <wp:extent cx="57543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54370" cy="8890"/>
                    </a:xfrm>
                    <a:prstGeom prst="rect">
                      <a:avLst/>
                    </a:prstGeom>
                    <a:noFill/>
                  </pic:spPr>
                </pic:pic>
              </a:graphicData>
            </a:graphic>
          </wp:anchor>
        </w:drawing>
        <w:drawing>
          <wp:anchor simplePos="0" relativeHeight="251657728" behindDoc="1" locked="0" layoutInCell="0" allowOverlap="1">
            <wp:simplePos x="0" y="0"/>
            <wp:positionH relativeFrom="page">
              <wp:posOffset>903605</wp:posOffset>
            </wp:positionH>
            <wp:positionV relativeFrom="page">
              <wp:posOffset>183515</wp:posOffset>
            </wp:positionV>
            <wp:extent cx="57543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54370" cy="8890"/>
                    </a:xfrm>
                    <a:prstGeom prst="rect">
                      <a:avLst/>
                    </a:prstGeom>
                    <a:noFill/>
                  </pic:spPr>
                </pic:pic>
              </a:graphicData>
            </a:graphic>
          </wp:anchor>
        </w:drawing>
        <w:t>UNITED STATES</w:t>
      </w:r>
    </w:p>
    <w:p>
      <w:pPr>
        <w:jc w:val="center"/>
        <w:ind w:right="-40"/>
        <w:spacing w:after="0" w:line="217" w:lineRule="auto"/>
        <w:rPr>
          <w:sz w:val="20"/>
          <w:szCs w:val="20"/>
          <w:color w:val="auto"/>
        </w:rPr>
      </w:pPr>
      <w:r>
        <w:rPr>
          <w:rFonts w:ascii="Arial" w:cs="Arial" w:eastAsia="Arial" w:hAnsi="Arial"/>
          <w:sz w:val="32"/>
          <w:szCs w:val="32"/>
          <w:b w:val="1"/>
          <w:bCs w:val="1"/>
          <w:color w:val="auto"/>
        </w:rPr>
        <w:t>SECURITIES AND EXCHANGE COMMISSION</w:t>
      </w: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2334260</wp:posOffset>
            </wp:positionH>
            <wp:positionV relativeFrom="paragraph">
              <wp:posOffset>57785</wp:posOffset>
            </wp:positionV>
            <wp:extent cx="10890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129"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2334260</wp:posOffset>
            </wp:positionH>
            <wp:positionV relativeFrom="paragraph">
              <wp:posOffset>80645</wp:posOffset>
            </wp:positionV>
            <wp:extent cx="108902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89025" cy="17145"/>
                    </a:xfrm>
                    <a:prstGeom prst="rect">
                      <a:avLst/>
                    </a:prstGeom>
                    <a:noFill/>
                  </pic:spPr>
                </pic:pic>
              </a:graphicData>
            </a:graphic>
          </wp:anchor>
        </w:drawing>
      </w:r>
    </w:p>
    <w:p>
      <w:pPr>
        <w:spacing w:after="0" w:line="186"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CURRENT REPORT</w:t>
      </w:r>
    </w:p>
    <w:p>
      <w:pPr>
        <w:jc w:val="center"/>
        <w:ind w:right="-40"/>
        <w:spacing w:after="0" w:line="205" w:lineRule="auto"/>
        <w:rPr>
          <w:sz w:val="20"/>
          <w:szCs w:val="20"/>
          <w:color w:val="auto"/>
        </w:rPr>
      </w:pPr>
      <w:r>
        <w:rPr>
          <w:rFonts w:ascii="Arial" w:cs="Arial" w:eastAsia="Arial" w:hAnsi="Arial"/>
          <w:sz w:val="22"/>
          <w:szCs w:val="22"/>
          <w:b w:val="1"/>
          <w:bCs w:val="1"/>
          <w:color w:val="auto"/>
        </w:rPr>
        <w:t>Pursuant to Section 13 or 15(d) of</w:t>
      </w:r>
    </w:p>
    <w:p>
      <w:pPr>
        <w:jc w:val="center"/>
        <w:ind w:right="-40"/>
        <w:spacing w:after="0"/>
        <w:rPr>
          <w:sz w:val="20"/>
          <w:szCs w:val="20"/>
          <w:color w:val="auto"/>
        </w:rPr>
      </w:pPr>
      <w:r>
        <w:rPr>
          <w:rFonts w:ascii="Arial" w:cs="Arial" w:eastAsia="Arial" w:hAnsi="Arial"/>
          <w:sz w:val="22"/>
          <w:szCs w:val="22"/>
          <w:b w:val="1"/>
          <w:bCs w:val="1"/>
          <w:color w:val="auto"/>
        </w:rPr>
        <w:t>the Securities Exchange Act of 1934</w:t>
      </w:r>
    </w:p>
    <w:p>
      <w:pPr>
        <w:spacing w:after="0" w:line="5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August 5,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807720</wp:posOffset>
            </wp:positionH>
            <wp:positionV relativeFrom="paragraph">
              <wp:posOffset>71755</wp:posOffset>
            </wp:positionV>
            <wp:extent cx="41421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151"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TACTILE SYSTEMS TECHNOLOGY, INC.</w:t>
      </w:r>
    </w:p>
    <w:p>
      <w:pPr>
        <w:spacing w:after="0" w:line="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807720</wp:posOffset>
            </wp:positionH>
            <wp:positionV relativeFrom="paragraph">
              <wp:posOffset>57785</wp:posOffset>
            </wp:positionV>
            <wp:extent cx="41421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183" w:lineRule="exact"/>
        <w:rPr>
          <w:sz w:val="24"/>
          <w:szCs w:val="24"/>
          <w:color w:val="auto"/>
        </w:rPr>
      </w:pPr>
    </w:p>
    <w:tbl>
      <w:tblPr>
        <w:tblLayout w:type="fixed"/>
        <w:tblInd w:w="320" w:type="dxa"/>
        <w:tblCellMar>
          <w:top w:w="0" w:type="dxa"/>
          <w:left w:w="0" w:type="dxa"/>
          <w:bottom w:w="0" w:type="dxa"/>
          <w:right w:w="0" w:type="dxa"/>
        </w:tblCellMar>
      </w:tblPr>
      <w:tr>
        <w:trPr>
          <w:trHeight w:val="225"/>
        </w:trPr>
        <w:tc>
          <w:tcPr>
            <w:tcW w:w="2980" w:type="dxa"/>
            <w:vAlign w:val="bottom"/>
          </w:tcPr>
          <w:p>
            <w:pPr>
              <w:jc w:val="center"/>
              <w:ind w:right="610"/>
              <w:spacing w:after="0"/>
              <w:rPr>
                <w:sz w:val="20"/>
                <w:szCs w:val="20"/>
                <w:color w:val="auto"/>
              </w:rPr>
            </w:pPr>
            <w:r>
              <w:rPr>
                <w:rFonts w:ascii="Arial" w:cs="Arial" w:eastAsia="Arial" w:hAnsi="Arial"/>
                <w:sz w:val="18"/>
                <w:szCs w:val="18"/>
                <w:b w:val="1"/>
                <w:bCs w:val="1"/>
                <w:color w:val="auto"/>
              </w:rPr>
              <w:t>Delaware</w:t>
            </w:r>
          </w:p>
        </w:tc>
        <w:tc>
          <w:tcPr>
            <w:tcW w:w="2700" w:type="dxa"/>
            <w:vAlign w:val="bottom"/>
          </w:tcPr>
          <w:p>
            <w:pPr>
              <w:jc w:val="center"/>
              <w:ind w:right="110"/>
              <w:spacing w:after="0"/>
              <w:rPr>
                <w:sz w:val="20"/>
                <w:szCs w:val="20"/>
                <w:color w:val="auto"/>
              </w:rPr>
            </w:pPr>
            <w:r>
              <w:rPr>
                <w:rFonts w:ascii="Arial" w:cs="Arial" w:eastAsia="Arial" w:hAnsi="Arial"/>
                <w:sz w:val="18"/>
                <w:szCs w:val="18"/>
                <w:b w:val="1"/>
                <w:bCs w:val="1"/>
                <w:color w:val="auto"/>
                <w:w w:val="99"/>
              </w:rPr>
              <w:t>001-37799</w:t>
            </w:r>
          </w:p>
        </w:tc>
        <w:tc>
          <w:tcPr>
            <w:tcW w:w="2320" w:type="dxa"/>
            <w:vAlign w:val="bottom"/>
          </w:tcPr>
          <w:p>
            <w:pPr>
              <w:jc w:val="center"/>
              <w:ind w:left="830"/>
              <w:spacing w:after="0"/>
              <w:rPr>
                <w:sz w:val="20"/>
                <w:szCs w:val="20"/>
                <w:color w:val="auto"/>
              </w:rPr>
            </w:pPr>
            <w:r>
              <w:rPr>
                <w:rFonts w:ascii="Arial" w:cs="Arial" w:eastAsia="Arial" w:hAnsi="Arial"/>
                <w:sz w:val="18"/>
                <w:szCs w:val="18"/>
                <w:b w:val="1"/>
                <w:bCs w:val="1"/>
                <w:color w:val="auto"/>
                <w:w w:val="99"/>
              </w:rPr>
              <w:t>41-1801204</w:t>
            </w:r>
          </w:p>
        </w:tc>
      </w:tr>
      <w:tr>
        <w:trPr>
          <w:trHeight w:val="203"/>
        </w:trPr>
        <w:tc>
          <w:tcPr>
            <w:tcW w:w="2980" w:type="dxa"/>
            <w:vAlign w:val="bottom"/>
          </w:tcPr>
          <w:p>
            <w:pPr>
              <w:jc w:val="center"/>
              <w:ind w:right="630"/>
              <w:spacing w:after="0" w:line="202" w:lineRule="exact"/>
              <w:rPr>
                <w:sz w:val="20"/>
                <w:szCs w:val="20"/>
                <w:color w:val="auto"/>
              </w:rPr>
            </w:pPr>
            <w:r>
              <w:rPr>
                <w:rFonts w:ascii="Arial" w:cs="Arial" w:eastAsia="Arial" w:hAnsi="Arial"/>
                <w:sz w:val="18"/>
                <w:szCs w:val="18"/>
                <w:color w:val="auto"/>
              </w:rPr>
              <w:t>(State or other jurisdiction of</w:t>
            </w:r>
          </w:p>
        </w:tc>
        <w:tc>
          <w:tcPr>
            <w:tcW w:w="2700" w:type="dxa"/>
            <w:vAlign w:val="bottom"/>
          </w:tcPr>
          <w:p>
            <w:pPr>
              <w:jc w:val="center"/>
              <w:ind w:right="110"/>
              <w:spacing w:after="0" w:line="202" w:lineRule="exact"/>
              <w:rPr>
                <w:sz w:val="20"/>
                <w:szCs w:val="20"/>
                <w:color w:val="auto"/>
              </w:rPr>
            </w:pPr>
            <w:r>
              <w:rPr>
                <w:rFonts w:ascii="Arial" w:cs="Arial" w:eastAsia="Arial" w:hAnsi="Arial"/>
                <w:sz w:val="18"/>
                <w:szCs w:val="18"/>
                <w:color w:val="auto"/>
              </w:rPr>
              <w:t>(Commission</w:t>
            </w:r>
          </w:p>
        </w:tc>
        <w:tc>
          <w:tcPr>
            <w:tcW w:w="2320" w:type="dxa"/>
            <w:vAlign w:val="bottom"/>
          </w:tcPr>
          <w:p>
            <w:pPr>
              <w:jc w:val="center"/>
              <w:ind w:left="830"/>
              <w:spacing w:after="0" w:line="202" w:lineRule="exact"/>
              <w:rPr>
                <w:sz w:val="20"/>
                <w:szCs w:val="20"/>
                <w:color w:val="auto"/>
              </w:rPr>
            </w:pPr>
            <w:r>
              <w:rPr>
                <w:rFonts w:ascii="Arial" w:cs="Arial" w:eastAsia="Arial" w:hAnsi="Arial"/>
                <w:sz w:val="18"/>
                <w:szCs w:val="18"/>
                <w:color w:val="auto"/>
                <w:w w:val="99"/>
              </w:rPr>
              <w:t>(I.R.S. Employer</w:t>
            </w:r>
          </w:p>
        </w:tc>
      </w:tr>
      <w:tr>
        <w:trPr>
          <w:trHeight w:val="217"/>
        </w:trPr>
        <w:tc>
          <w:tcPr>
            <w:tcW w:w="2980" w:type="dxa"/>
            <w:vAlign w:val="bottom"/>
          </w:tcPr>
          <w:p>
            <w:pPr>
              <w:jc w:val="center"/>
              <w:ind w:right="630"/>
              <w:spacing w:after="0"/>
              <w:rPr>
                <w:sz w:val="20"/>
                <w:szCs w:val="20"/>
                <w:color w:val="auto"/>
              </w:rPr>
            </w:pPr>
            <w:r>
              <w:rPr>
                <w:rFonts w:ascii="Arial" w:cs="Arial" w:eastAsia="Arial" w:hAnsi="Arial"/>
                <w:sz w:val="18"/>
                <w:szCs w:val="18"/>
                <w:color w:val="auto"/>
                <w:w w:val="99"/>
              </w:rPr>
              <w:t>incorporation)</w:t>
            </w:r>
          </w:p>
        </w:tc>
        <w:tc>
          <w:tcPr>
            <w:tcW w:w="2700" w:type="dxa"/>
            <w:vAlign w:val="bottom"/>
          </w:tcPr>
          <w:p>
            <w:pPr>
              <w:jc w:val="center"/>
              <w:ind w:right="130"/>
              <w:spacing w:after="0"/>
              <w:rPr>
                <w:sz w:val="20"/>
                <w:szCs w:val="20"/>
                <w:color w:val="auto"/>
              </w:rPr>
            </w:pPr>
            <w:r>
              <w:rPr>
                <w:rFonts w:ascii="Arial" w:cs="Arial" w:eastAsia="Arial" w:hAnsi="Arial"/>
                <w:sz w:val="18"/>
                <w:szCs w:val="18"/>
                <w:color w:val="auto"/>
                <w:w w:val="99"/>
              </w:rPr>
              <w:t>File Number)</w:t>
            </w:r>
          </w:p>
        </w:tc>
        <w:tc>
          <w:tcPr>
            <w:tcW w:w="2320" w:type="dxa"/>
            <w:vAlign w:val="bottom"/>
          </w:tcPr>
          <w:p>
            <w:pPr>
              <w:jc w:val="center"/>
              <w:ind w:left="830"/>
              <w:spacing w:after="0"/>
              <w:rPr>
                <w:sz w:val="20"/>
                <w:szCs w:val="20"/>
                <w:color w:val="auto"/>
              </w:rPr>
            </w:pPr>
            <w:r>
              <w:rPr>
                <w:rFonts w:ascii="Arial" w:cs="Arial" w:eastAsia="Arial" w:hAnsi="Arial"/>
                <w:sz w:val="18"/>
                <w:szCs w:val="18"/>
                <w:color w:val="auto"/>
                <w:w w:val="99"/>
              </w:rPr>
              <w:t>Identification No.)</w:t>
            </w:r>
          </w:p>
        </w:tc>
      </w:tr>
    </w:tbl>
    <w:p>
      <w:pPr>
        <w:spacing w:after="0" w:line="4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1331 Tyler Street NE, Suite 200, Minneapolis, MN 55413</w:t>
      </w:r>
    </w:p>
    <w:p>
      <w:pPr>
        <w:jc w:val="center"/>
        <w:ind w:right="-40"/>
        <w:spacing w:after="0"/>
        <w:rPr>
          <w:sz w:val="20"/>
          <w:szCs w:val="20"/>
          <w:color w:val="auto"/>
        </w:rPr>
      </w:pPr>
      <w:r>
        <w:rPr>
          <w:rFonts w:ascii="Arial" w:cs="Arial" w:eastAsia="Arial" w:hAnsi="Arial"/>
          <w:sz w:val="18"/>
          <w:szCs w:val="18"/>
          <w:color w:val="auto"/>
        </w:rPr>
        <w:t>(Address of principal executive offices) (Zip Code)</w:t>
      </w:r>
    </w:p>
    <w:p>
      <w:pPr>
        <w:spacing w:after="0" w:line="4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(612) 355-5100</w:t>
      </w:r>
    </w:p>
    <w:p>
      <w:pPr>
        <w:jc w:val="center"/>
        <w:ind w:right="-40"/>
        <w:spacing w:after="0"/>
        <w:rPr>
          <w:sz w:val="20"/>
          <w:szCs w:val="20"/>
          <w:color w:val="auto"/>
        </w:rPr>
      </w:pPr>
      <w:r>
        <w:rPr>
          <w:rFonts w:ascii="Arial" w:cs="Arial" w:eastAsia="Arial" w:hAnsi="Arial"/>
          <w:sz w:val="18"/>
          <w:szCs w:val="18"/>
          <w:color w:val="auto"/>
        </w:rPr>
        <w:t>(Registrant’s telephone number, including area code)</w:t>
      </w:r>
    </w:p>
    <w:p>
      <w:pPr>
        <w:spacing w:after="0" w:line="3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N/A</w:t>
      </w:r>
    </w:p>
    <w:p>
      <w:pPr>
        <w:jc w:val="center"/>
        <w:ind w:right="-4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77" w:lineRule="exact"/>
        <w:rPr>
          <w:sz w:val="24"/>
          <w:szCs w:val="24"/>
          <w:color w:val="auto"/>
        </w:rPr>
      </w:pPr>
    </w:p>
    <w:p>
      <w:pPr>
        <w:ind w:right="79"/>
        <w:spacing w:after="0" w:line="22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36" w:lineRule="exact"/>
        <w:rPr>
          <w:sz w:val="24"/>
          <w:szCs w:val="24"/>
          <w:color w:val="auto"/>
        </w:rPr>
      </w:pPr>
    </w:p>
    <w:p>
      <w:pPr>
        <w:ind w:left="220" w:hanging="217"/>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ind w:left="220" w:hanging="217"/>
        <w:spacing w:after="0" w:line="203" w:lineRule="auto"/>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ind w:left="260" w:right="299" w:hanging="257"/>
        <w:spacing w:after="0" w:line="203" w:lineRule="auto"/>
        <w:tabs>
          <w:tab w:leader="none" w:pos="213"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ind w:left="260" w:right="299" w:hanging="257"/>
        <w:spacing w:after="0" w:line="227" w:lineRule="auto"/>
        <w:tabs>
          <w:tab w:leader="none" w:pos="213"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Securities registered pursuant to Section 12(b) of the Act:</w:t>
      </w:r>
    </w:p>
    <w:p>
      <w:pPr>
        <w:sectPr>
          <w:pgSz w:w="11900" w:h="16838" w:orient="portrait"/>
          <w:cols w:equalWidth="0" w:num="1">
            <w:col w:w="9039"/>
          </w:cols>
          <w:pgMar w:left="1420" w:top="316" w:right="1440" w:bottom="1440" w:gutter="0" w:footer="0" w:header="0"/>
        </w:sectPr>
      </w:pPr>
    </w:p>
    <w:p>
      <w:pPr>
        <w:spacing w:after="0" w:line="90" w:lineRule="exact"/>
        <w:rPr>
          <w:sz w:val="24"/>
          <w:szCs w:val="24"/>
          <w:color w:val="auto"/>
        </w:rPr>
      </w:pPr>
    </w:p>
    <w:p>
      <w:pPr>
        <w:ind w:left="920"/>
        <w:spacing w:after="0"/>
        <w:rPr>
          <w:sz w:val="20"/>
          <w:szCs w:val="20"/>
          <w:color w:val="auto"/>
        </w:rPr>
      </w:pPr>
      <w:r>
        <w:rPr>
          <w:rFonts w:ascii="Arial" w:cs="Arial" w:eastAsia="Arial" w:hAnsi="Arial"/>
          <w:sz w:val="18"/>
          <w:szCs w:val="18"/>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70"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Trading Symbol(s)</w:t>
      </w:r>
    </w:p>
    <w:p>
      <w:pPr>
        <w:spacing w:after="0" w:line="20" w:lineRule="exact"/>
        <w:rPr>
          <w:sz w:val="24"/>
          <w:szCs w:val="24"/>
          <w:color w:val="auto"/>
        </w:rPr>
      </w:pPr>
      <w:r>
        <w:rPr>
          <w:sz w:val="24"/>
          <w:szCs w:val="24"/>
          <w:color w:val="auto"/>
        </w:rPr>
        <w:br w:type="column"/>
      </w:r>
    </w:p>
    <w:p>
      <w:pPr>
        <w:spacing w:after="0" w:line="70" w:lineRule="exact"/>
        <w:rPr>
          <w:sz w:val="24"/>
          <w:szCs w:val="24"/>
          <w:color w:val="auto"/>
        </w:rPr>
      </w:pPr>
    </w:p>
    <w:p>
      <w:pPr>
        <w:jc w:val="center"/>
        <w:ind w:right="339"/>
        <w:spacing w:after="0"/>
        <w:rPr>
          <w:sz w:val="20"/>
          <w:szCs w:val="20"/>
          <w:color w:val="auto"/>
        </w:rPr>
      </w:pPr>
      <w:r>
        <w:rPr>
          <w:rFonts w:ascii="Arial" w:cs="Arial" w:eastAsia="Arial" w:hAnsi="Arial"/>
          <w:sz w:val="17"/>
          <w:szCs w:val="17"/>
          <w:b w:val="1"/>
          <w:bCs w:val="1"/>
          <w:color w:val="auto"/>
        </w:rPr>
        <w:t>Name of each exchange on which</w:t>
      </w:r>
    </w:p>
    <w:p>
      <w:pPr>
        <w:spacing w:after="0" w:line="2" w:lineRule="exact"/>
        <w:rPr>
          <w:sz w:val="24"/>
          <w:szCs w:val="24"/>
          <w:color w:val="auto"/>
        </w:rPr>
      </w:pPr>
    </w:p>
    <w:p>
      <w:pPr>
        <w:jc w:val="center"/>
        <w:ind w:right="339"/>
        <w:spacing w:after="0"/>
        <w:rPr>
          <w:sz w:val="20"/>
          <w:szCs w:val="20"/>
          <w:color w:val="auto"/>
        </w:rPr>
      </w:pPr>
      <w:r>
        <w:rPr>
          <w:rFonts w:ascii="Arial" w:cs="Arial" w:eastAsia="Arial" w:hAnsi="Arial"/>
          <w:sz w:val="18"/>
          <w:szCs w:val="18"/>
          <w:b w:val="1"/>
          <w:bCs w:val="1"/>
          <w:color w:val="auto"/>
        </w:rPr>
        <w:t>registered</w:t>
      </w:r>
    </w:p>
    <w:p>
      <w:pPr>
        <w:spacing w:after="0" w:line="10" w:lineRule="exact"/>
        <w:rPr>
          <w:sz w:val="24"/>
          <w:szCs w:val="24"/>
          <w:color w:val="auto"/>
        </w:rPr>
      </w:pPr>
    </w:p>
    <w:p>
      <w:pPr>
        <w:sectPr>
          <w:pgSz w:w="11900" w:h="16838" w:orient="portrait"/>
          <w:cols w:equalWidth="0" w:num="3">
            <w:col w:w="2920" w:space="720"/>
            <w:col w:w="1580" w:space="600"/>
            <w:col w:w="3219"/>
          </w:cols>
          <w:pgMar w:left="1420" w:top="316" w:right="1440" w:bottom="1440" w:gutter="0" w:footer="0" w:header="0"/>
          <w:type w:val="continuous"/>
        </w:sectPr>
      </w:pPr>
    </w:p>
    <w:p>
      <w:pPr>
        <w:ind w:left="180"/>
        <w:spacing w:after="0"/>
        <w:rPr>
          <w:sz w:val="20"/>
          <w:szCs w:val="20"/>
          <w:color w:val="auto"/>
        </w:rPr>
      </w:pPr>
      <w:r>
        <w:rPr>
          <w:rFonts w:ascii="Arial" w:cs="Arial" w:eastAsia="Arial" w:hAnsi="Arial"/>
          <w:sz w:val="17"/>
          <w:szCs w:val="17"/>
          <w:color w:val="auto"/>
        </w:rPr>
        <w:t>Common Stock, Par Value $0.001 Per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TCMD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7"/>
          <w:szCs w:val="17"/>
          <w:color w:val="auto"/>
        </w:rPr>
        <w:t>The Nasdaq Stock Market</w:t>
      </w:r>
    </w:p>
    <w:p>
      <w:pPr>
        <w:spacing w:after="0" w:line="12" w:lineRule="exact"/>
        <w:rPr>
          <w:sz w:val="24"/>
          <w:szCs w:val="24"/>
          <w:color w:val="auto"/>
        </w:rPr>
      </w:pPr>
    </w:p>
    <w:p>
      <w:pPr>
        <w:sectPr>
          <w:pgSz w:w="11900" w:h="16838" w:orient="portrait"/>
          <w:cols w:equalWidth="0" w:num="3">
            <w:col w:w="3460" w:space="720"/>
            <w:col w:w="1320" w:space="720"/>
            <w:col w:w="2819"/>
          </w:cols>
          <w:pgMar w:left="1420" w:top="316" w:right="1440" w:bottom="1440" w:gutter="0" w:footer="0" w:header="0"/>
          <w:type w:val="continuous"/>
        </w:sectPr>
      </w:pPr>
    </w:p>
    <w:p>
      <w:pPr>
        <w:ind w:left="1460"/>
        <w:spacing w:after="0" w:line="226" w:lineRule="auto"/>
        <w:rPr>
          <w:sz w:val="20"/>
          <w:szCs w:val="20"/>
          <w:color w:val="auto"/>
        </w:rPr>
      </w:pPr>
      <w:r>
        <w:rPr>
          <w:rFonts w:ascii="Arial" w:cs="Arial" w:eastAsia="Arial" w:hAnsi="Arial"/>
          <w:sz w:val="17"/>
          <w:szCs w:val="17"/>
          <w:color w:val="auto"/>
        </w:rPr>
        <w:t>Share</w:t>
      </w:r>
    </w:p>
    <w:p>
      <w:pPr>
        <w:sectPr>
          <w:pgSz w:w="11900" w:h="16838" w:orient="portrait"/>
          <w:cols w:equalWidth="0" w:num="1">
            <w:col w:w="9039"/>
          </w:cols>
          <w:pgMar w:left="1420" w:top="316" w:right="1440" w:bottom="1440" w:gutter="0" w:footer="0" w:header="0"/>
          <w:type w:val="continuous"/>
        </w:sectPr>
      </w:pPr>
    </w:p>
    <w:p>
      <w:pPr>
        <w:spacing w:after="0" w:line="94" w:lineRule="exact"/>
        <w:rPr>
          <w:sz w:val="24"/>
          <w:szCs w:val="24"/>
          <w:color w:val="auto"/>
        </w:rPr>
      </w:pPr>
    </w:p>
    <w:p>
      <w:pPr>
        <w:ind w:right="459"/>
        <w:spacing w:after="0" w:line="196"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w:t>
      </w:r>
      <w:r>
        <w:rPr>
          <w:rFonts w:ascii="MS PGothic" w:cs="MS PGothic" w:eastAsia="MS PGothic" w:hAnsi="MS PGothic"/>
          <w:sz w:val="18"/>
          <w:szCs w:val="18"/>
          <w:color w:val="auto"/>
        </w:rPr>
        <w:t>☐</w:t>
      </w:r>
      <w:r>
        <w:rPr>
          <w:rFonts w:ascii="Arial" w:cs="Arial" w:eastAsia="Arial" w:hAnsi="Arial"/>
          <w:sz w:val="18"/>
          <w:szCs w:val="18"/>
          <w:color w:val="auto"/>
        </w:rPr>
        <w:t xml:space="preserve"> Emerging growth company</w:t>
      </w:r>
    </w:p>
    <w:p>
      <w:pPr>
        <w:spacing w:after="0" w:line="47" w:lineRule="exact"/>
        <w:rPr>
          <w:sz w:val="24"/>
          <w:szCs w:val="24"/>
          <w:color w:val="auto"/>
        </w:rPr>
      </w:pPr>
    </w:p>
    <w:p>
      <w:pPr>
        <w:jc w:val="both"/>
        <w:ind w:right="459"/>
        <w:spacing w:after="0" w:line="19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22225</wp:posOffset>
            </wp:positionV>
            <wp:extent cx="57543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5437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47625</wp:posOffset>
            </wp:positionV>
            <wp:extent cx="57543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5437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785495</wp:posOffset>
            </wp:positionV>
            <wp:extent cx="575437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39"/>
          </w:cols>
          <w:pgMar w:left="1420" w:top="316" w:right="1440"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66" w:lineRule="exact"/>
        <w:rPr>
          <w:sz w:val="20"/>
          <w:szCs w:val="20"/>
          <w:color w:val="auto"/>
        </w:rPr>
      </w:pPr>
    </w:p>
    <w:p>
      <w:pPr>
        <w:ind w:right="80" w:firstLine="648"/>
        <w:spacing w:after="0" w:line="241" w:lineRule="auto"/>
        <w:rPr>
          <w:sz w:val="20"/>
          <w:szCs w:val="20"/>
          <w:color w:val="auto"/>
        </w:rPr>
      </w:pPr>
      <w:r>
        <w:rPr>
          <w:rFonts w:ascii="Arial" w:cs="Arial" w:eastAsia="Arial" w:hAnsi="Arial"/>
          <w:sz w:val="17"/>
          <w:szCs w:val="17"/>
          <w:color w:val="auto"/>
        </w:rPr>
        <w:t>On August 5, 2019, we issued a press release disclosing our results of operations and financial condition for our most recently completed fiscal quarter. A copy of the press release is attached hereto as Exhibit 99.1.</w:t>
      </w:r>
    </w:p>
    <w:p>
      <w:pPr>
        <w:spacing w:after="0" w:line="134" w:lineRule="exact"/>
        <w:rPr>
          <w:sz w:val="20"/>
          <w:szCs w:val="20"/>
          <w:color w:val="auto"/>
        </w:rPr>
      </w:pPr>
    </w:p>
    <w:p>
      <w:pPr>
        <w:jc w:val="both"/>
        <w:ind w:right="40" w:firstLine="648"/>
        <w:spacing w:after="0" w:line="213" w:lineRule="auto"/>
        <w:rPr>
          <w:sz w:val="20"/>
          <w:szCs w:val="20"/>
          <w:color w:val="auto"/>
        </w:rPr>
      </w:pPr>
      <w:r>
        <w:rPr>
          <w:rFonts w:ascii="Arial" w:cs="Arial" w:eastAsia="Arial" w:hAnsi="Arial"/>
          <w:sz w:val="18"/>
          <w:szCs w:val="18"/>
          <w:color w:val="auto"/>
        </w:rPr>
        <w:t>In accordance with General Instruction B.2 of Form 8-K, the information in this Current Report on Form 8-K, including Exhibit 99.1, shall not be deemed to be “filed” for purposes of Section 18 of the Securities Exchange Act of 1934 or otherwise subject to the liability of that section, and shall not be incorporated by reference into any registration statement or other document filed under the Securities Act of 1933 or the Securities Exchange Act of 1934, except as shall be expressly set forth by specific reference in that filing.</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220" w:type="dxa"/>
            <w:vAlign w:val="bottom"/>
          </w:tcPr>
          <w:p>
            <w:pPr>
              <w:ind w:left="3040"/>
              <w:spacing w:after="0"/>
              <w:rPr>
                <w:sz w:val="20"/>
                <w:szCs w:val="20"/>
                <w:color w:val="auto"/>
              </w:rPr>
            </w:pPr>
            <w:r>
              <w:rPr>
                <w:rFonts w:ascii="Arial" w:cs="Arial" w:eastAsia="Arial" w:hAnsi="Arial"/>
                <w:sz w:val="18"/>
                <w:szCs w:val="18"/>
                <w:b w:val="1"/>
                <w:bCs w:val="1"/>
                <w:color w:val="auto"/>
              </w:rPr>
              <w:t>EXHIBIT INDEX</w:t>
            </w:r>
          </w:p>
        </w:tc>
      </w:tr>
      <w:tr>
        <w:trPr>
          <w:trHeight w:val="311"/>
        </w:trPr>
        <w:tc>
          <w:tcPr>
            <w:tcW w:w="84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8220" w:type="dxa"/>
            <w:vAlign w:val="bottom"/>
          </w:tcPr>
          <w:p>
            <w:pPr>
              <w:spacing w:after="0"/>
              <w:rPr>
                <w:sz w:val="24"/>
                <w:szCs w:val="24"/>
                <w:color w:val="auto"/>
              </w:rPr>
            </w:pPr>
          </w:p>
        </w:tc>
      </w:tr>
      <w:tr>
        <w:trPr>
          <w:trHeight w:val="175"/>
        </w:trPr>
        <w:tc>
          <w:tcPr>
            <w:tcW w:w="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280" w:type="dxa"/>
            <w:vAlign w:val="bottom"/>
          </w:tcPr>
          <w:p>
            <w:pPr>
              <w:spacing w:after="0"/>
              <w:rPr>
                <w:sz w:val="15"/>
                <w:szCs w:val="15"/>
                <w:color w:val="auto"/>
              </w:rPr>
            </w:pPr>
          </w:p>
        </w:tc>
        <w:tc>
          <w:tcPr>
            <w:tcW w:w="8220" w:type="dxa"/>
            <w:vAlign w:val="bottom"/>
            <w:tcBorders>
              <w:bottom w:val="single" w:sz="8" w:color="auto"/>
            </w:tcBorders>
          </w:tcPr>
          <w:p>
            <w:pPr>
              <w:ind w:left="3720"/>
              <w:spacing w:after="0"/>
              <w:rPr>
                <w:sz w:val="20"/>
                <w:szCs w:val="20"/>
                <w:color w:val="auto"/>
              </w:rPr>
            </w:pPr>
            <w:r>
              <w:rPr>
                <w:rFonts w:ascii="Arial" w:cs="Arial" w:eastAsia="Arial" w:hAnsi="Arial"/>
                <w:sz w:val="14"/>
                <w:szCs w:val="14"/>
                <w:b w:val="1"/>
                <w:bCs w:val="1"/>
                <w:color w:val="auto"/>
              </w:rPr>
              <w:t>Description</w:t>
            </w:r>
          </w:p>
        </w:tc>
      </w:tr>
    </w:tbl>
    <w:p>
      <w:pPr>
        <w:spacing w:after="0" w:line="188" w:lineRule="exact"/>
        <w:rPr>
          <w:sz w:val="20"/>
          <w:szCs w:val="20"/>
          <w:color w:val="auto"/>
        </w:rPr>
      </w:pPr>
    </w:p>
    <w:p>
      <w:pPr>
        <w:spacing w:after="0"/>
        <w:tabs>
          <w:tab w:leader="none" w:pos="820" w:val="left"/>
        </w:tabs>
        <w:rPr>
          <w:rFonts w:ascii="Arial" w:cs="Arial" w:eastAsia="Arial" w:hAnsi="Arial"/>
          <w:sz w:val="18"/>
          <w:szCs w:val="18"/>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8"/>
            <w:szCs w:val="18"/>
            <w:u w:val="single" w:color="auto"/>
            <w:color w:val="0000EE"/>
          </w:rPr>
          <w:t>Press Release dated August 5, 2019</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349250</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4" w:right="141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t>SIGNATURES</w:t>
      </w:r>
    </w:p>
    <w:p>
      <w:pPr>
        <w:spacing w:after="0" w:line="166" w:lineRule="exact"/>
        <w:rPr>
          <w:sz w:val="20"/>
          <w:szCs w:val="20"/>
          <w:color w:val="auto"/>
        </w:rPr>
      </w:pPr>
    </w:p>
    <w:p>
      <w:pPr>
        <w:ind w:right="299" w:firstLine="441"/>
        <w:spacing w:after="0" w:line="22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35" w:lineRule="exact"/>
        <w:rPr>
          <w:sz w:val="20"/>
          <w:szCs w:val="20"/>
          <w:color w:val="auto"/>
        </w:rPr>
      </w:pPr>
    </w:p>
    <w:p>
      <w:pPr>
        <w:ind w:left="4740"/>
        <w:spacing w:after="0"/>
        <w:rPr>
          <w:sz w:val="20"/>
          <w:szCs w:val="20"/>
          <w:color w:val="auto"/>
        </w:rPr>
      </w:pPr>
      <w:r>
        <w:rPr>
          <w:rFonts w:ascii="Arial" w:cs="Arial" w:eastAsia="Arial" w:hAnsi="Arial"/>
          <w:sz w:val="18"/>
          <w:szCs w:val="18"/>
          <w:color w:val="auto"/>
        </w:rPr>
        <w:t>TACTILE SYSTEMS TECHNOLOGY, INC.</w:t>
      </w:r>
    </w:p>
    <w:p>
      <w:pPr>
        <w:spacing w:after="0" w:line="200" w:lineRule="exact"/>
        <w:rPr>
          <w:sz w:val="20"/>
          <w:szCs w:val="20"/>
          <w:color w:val="auto"/>
        </w:rPr>
      </w:pPr>
    </w:p>
    <w:p>
      <w:pPr>
        <w:spacing w:after="0" w:line="223" w:lineRule="exact"/>
        <w:rPr>
          <w:sz w:val="20"/>
          <w:szCs w:val="20"/>
          <w:color w:val="auto"/>
        </w:rPr>
      </w:pPr>
    </w:p>
    <w:p>
      <w:pPr>
        <w:spacing w:after="0"/>
        <w:tabs>
          <w:tab w:leader="none" w:pos="4720" w:val="left"/>
        </w:tabs>
        <w:rPr>
          <w:sz w:val="20"/>
          <w:szCs w:val="20"/>
          <w:color w:val="auto"/>
        </w:rPr>
      </w:pPr>
      <w:r>
        <w:rPr>
          <w:rFonts w:ascii="Arial" w:cs="Arial" w:eastAsia="Arial" w:hAnsi="Arial"/>
          <w:sz w:val="18"/>
          <w:szCs w:val="18"/>
          <w:color w:val="auto"/>
        </w:rPr>
        <w:t>Date: August 5, 2019</w:t>
      </w:r>
      <w:r>
        <w:rPr>
          <w:sz w:val="20"/>
          <w:szCs w:val="20"/>
          <w:color w:val="auto"/>
        </w:rPr>
        <w:tab/>
      </w:r>
      <w:r>
        <w:rPr>
          <w:rFonts w:ascii="Arial" w:cs="Arial" w:eastAsia="Arial" w:hAnsi="Arial"/>
          <w:sz w:val="18"/>
          <w:szCs w:val="18"/>
          <w:color w:val="auto"/>
        </w:rPr>
        <w:t xml:space="preserve">By: /s/ </w:t>
      </w:r>
      <w:r>
        <w:rPr>
          <w:rFonts w:ascii="Arial" w:cs="Arial" w:eastAsia="Arial" w:hAnsi="Arial"/>
          <w:sz w:val="18"/>
          <w:szCs w:val="18"/>
          <w:i w:val="1"/>
          <w:iCs w:val="1"/>
          <w:color w:val="auto"/>
        </w:rPr>
        <w:t>Brent A. Moen</w:t>
      </w:r>
    </w:p>
    <w:p>
      <w:pPr>
        <w:spacing w:after="0" w:line="36"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3226435</wp:posOffset>
            </wp:positionH>
            <wp:positionV relativeFrom="paragraph">
              <wp:posOffset>-127635</wp:posOffset>
            </wp:positionV>
            <wp:extent cx="25298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ind w:left="508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623570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04" w:right="1440" w:bottom="1440" w:gutter="0" w:footer="0" w:header="0"/>
        </w:sectPr>
      </w:pPr>
    </w:p>
    <w:bookmarkStart w:id="3" w:name="page4"/>
    <w:bookmarkEnd w:id="3"/>
    <w:p>
      <w:pPr>
        <w:ind w:left="8120"/>
        <w:spacing w:after="0"/>
        <w:rPr>
          <w:sz w:val="20"/>
          <w:szCs w:val="20"/>
          <w:color w:val="auto"/>
        </w:rPr>
      </w:pPr>
      <w:r>
        <w:rPr>
          <w:rFonts w:ascii="Arial" w:cs="Arial" w:eastAsia="Arial" w:hAnsi="Arial"/>
          <w:sz w:val="17"/>
          <w:szCs w:val="17"/>
          <w:color w:val="auto"/>
        </w:rPr>
        <w:t>Exhibit 99.1</w:t>
      </w:r>
    </w:p>
    <w:p>
      <w:pPr>
        <w:jc w:val="center"/>
        <w:ind w:left="1440" w:right="360"/>
        <w:spacing w:after="0" w:line="236" w:lineRule="auto"/>
        <w:rPr>
          <w:sz w:val="20"/>
          <w:szCs w:val="20"/>
          <w:color w:val="auto"/>
        </w:rPr>
      </w:pPr>
      <w:r>
        <w:rPr>
          <w:rFonts w:ascii="Arial" w:cs="Arial" w:eastAsia="Arial" w:hAnsi="Arial"/>
          <w:sz w:val="20"/>
          <w:szCs w:val="20"/>
          <w:b w:val="1"/>
          <w:bCs w:val="1"/>
          <w:color w:val="auto"/>
        </w:rPr>
        <w:t>TACTILE SYSTEMS TECHNOLOGY, INC. REPORTS SECOND QUARTER 2019 FINANCIAL RESULTS; UPDATES 2019 OUTLOOK</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Second Quarter Revenue Increased 32% Year-Over-Year; Operating Income Up 132%</w:t>
      </w:r>
    </w:p>
    <w:p>
      <w:pPr>
        <w:spacing w:after="0" w:line="199" w:lineRule="exact"/>
        <w:rPr>
          <w:sz w:val="20"/>
          <w:szCs w:val="20"/>
          <w:color w:val="auto"/>
        </w:rPr>
      </w:pPr>
    </w:p>
    <w:p>
      <w:pPr>
        <w:jc w:val="both"/>
        <w:spacing w:after="0" w:line="231" w:lineRule="auto"/>
        <w:rPr>
          <w:sz w:val="20"/>
          <w:szCs w:val="20"/>
          <w:color w:val="auto"/>
        </w:rPr>
      </w:pPr>
      <w:r>
        <w:rPr>
          <w:rFonts w:ascii="Arial" w:cs="Arial" w:eastAsia="Arial" w:hAnsi="Arial"/>
          <w:sz w:val="20"/>
          <w:szCs w:val="20"/>
          <w:color w:val="auto"/>
        </w:rPr>
        <w:t>MINNEAPOLIS, MN, August 5, 2019 – Tactile Systems Technology, Inc. (“Tactile Medical”) (Nasdaq: TCMD), a medical technology company focused on developing medical devices for the treatment of chronic diseases at home, today reported financial results for the second quarter ended June 30, 2019.</w:t>
      </w:r>
    </w:p>
    <w:p>
      <w:pPr>
        <w:spacing w:after="0" w:line="130"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Second Quarter 2019 Summary:</w:t>
      </w:r>
    </w:p>
    <w:p>
      <w:pPr>
        <w:spacing w:after="0" w:line="186" w:lineRule="exact"/>
        <w:rPr>
          <w:sz w:val="20"/>
          <w:szCs w:val="20"/>
          <w:color w:val="auto"/>
        </w:rPr>
      </w:pPr>
    </w:p>
    <w:p>
      <w:pPr>
        <w:jc w:val="both"/>
        <w:ind w:left="660" w:hanging="333"/>
        <w:spacing w:after="0" w:line="225"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Second quarter total revenue increased 32% year-over-year, to $45.2 million, compared to $34.1 million in second quarter 2018; the adoption of new lease accounting rules contributed five percentage points of the year-over-year increase in total revenue.</w:t>
      </w:r>
    </w:p>
    <w:p>
      <w:pPr>
        <w:spacing w:after="0" w:line="1" w:lineRule="exact"/>
        <w:rPr>
          <w:rFonts w:ascii="Arial" w:cs="Arial" w:eastAsia="Arial" w:hAnsi="Arial"/>
          <w:sz w:val="18"/>
          <w:szCs w:val="18"/>
          <w:color w:val="auto"/>
        </w:rPr>
      </w:pPr>
    </w:p>
    <w:p>
      <w:pPr>
        <w:ind w:left="660" w:hanging="333"/>
        <w:spacing w:after="0" w:line="225"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Flexitouch revenue increased 31% year-over-year, to $41.0 million, compared to $31.4 million in second quarter 2018.</w:t>
      </w:r>
    </w:p>
    <w:p>
      <w:pPr>
        <w:ind w:left="660" w:hanging="333"/>
        <w:spacing w:after="0" w:line="225"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Operating income of $3.0 million, compared to $1.3 million in second quarter 2018.</w:t>
      </w:r>
    </w:p>
    <w:p>
      <w:pPr>
        <w:ind w:left="660" w:hanging="333"/>
        <w:spacing w:after="0" w:line="225"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Net income of $2.8 million, compared to $2.6 million in second quarter 2018.</w:t>
      </w:r>
    </w:p>
    <w:p>
      <w:pPr>
        <w:ind w:left="660" w:hanging="333"/>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Adjusted EBITDA of $6.2 million, compared to $4.3 million in second quarter 2018.</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Highlights Subsequent to Quarter End:</w:t>
      </w:r>
    </w:p>
    <w:p>
      <w:pPr>
        <w:spacing w:after="0" w:line="199" w:lineRule="exact"/>
        <w:rPr>
          <w:sz w:val="20"/>
          <w:szCs w:val="20"/>
          <w:color w:val="auto"/>
        </w:rPr>
      </w:pPr>
    </w:p>
    <w:p>
      <w:pPr>
        <w:jc w:val="both"/>
        <w:ind w:left="660" w:hanging="333"/>
        <w:spacing w:after="0" w:line="229"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20"/>
          <w:szCs w:val="20"/>
          <w:color w:val="auto"/>
        </w:rPr>
        <w:t>On July 22, 2019, the Company announced the appointment of Jay Stracke to the position of Vice President of Reimbursement and Payer Relations, effective July 15, 2019. Mr. Stracke succeeded Tactile Medical’s Senior Vice President of Reimbursement and Payer Relations, Mary (Maggie) Thompson, RN, who retired from her full-time role and transitioned into a part-time role as Vice President, Payer Initiatives.</w:t>
      </w:r>
    </w:p>
    <w:p>
      <w:pPr>
        <w:spacing w:after="0" w:line="199"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“The second quarter of 2019 was marked by exceptional company performance as evidenced by our 32% revenue growth year-over-year and improved profitability,” said Gerald R. Mattys, Chief Executive Officer of Tactile Medical. “Our sales performance benefited from the continuing adoption of our Flexitouch Plus system in the market and the impact of several important growth drivers, including the continued expansion of our field sales team, our success in focusing on the most productive accounts and strong sales volumes due to a contract with a large commercial payer.”</w:t>
      </w:r>
    </w:p>
    <w:p>
      <w:pPr>
        <w:spacing w:after="0" w:line="155"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Mr. Mattys continued, “We are raising our 2019 revenue guidance today based on our stronger than anticipated performance in the second quarter and look forward to delivering continued growth and improved profitability as we enter the second half of 2019. We now expect total revenue to increase 26.5% to 28% year-over-year in 2019. We remain focused on executing against our strategy to penetrate the more than $4 billion U.S. lymphedema and chronic venous insufficiency market by helping people with chronic diseases live better and care for themselves at home.”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332740</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6" w:right="1419"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u w:val="single" w:color="auto"/>
          <w:color w:val="auto"/>
        </w:rPr>
        <w:t>Second Quarter 2019 Financial Results</w:t>
      </w:r>
    </w:p>
    <w:p>
      <w:pPr>
        <w:spacing w:after="0" w:line="186" w:lineRule="exact"/>
        <w:rPr>
          <w:sz w:val="20"/>
          <w:szCs w:val="20"/>
          <w:color w:val="auto"/>
        </w:rPr>
      </w:pPr>
    </w:p>
    <w:p>
      <w:pPr>
        <w:jc w:val="both"/>
        <w:spacing w:after="0" w:line="228" w:lineRule="auto"/>
        <w:rPr>
          <w:sz w:val="20"/>
          <w:szCs w:val="20"/>
          <w:color w:val="auto"/>
        </w:rPr>
      </w:pPr>
      <w:r>
        <w:rPr>
          <w:rFonts w:ascii="Arial" w:cs="Arial" w:eastAsia="Arial" w:hAnsi="Arial"/>
          <w:sz w:val="20"/>
          <w:szCs w:val="20"/>
          <w:color w:val="auto"/>
        </w:rPr>
        <w:t>Revenue for the second quarter of 2019 increased $11.1 million, or 32%, to $45.2 million, compared to $34.1 million for the quarter ended June 30, 2018. The increase in revenue was attributable to an increase of $9.6 million, or 31%, in sales and rentals of the Flexitouch system and an increase of $1.5 million, or 53%, in sales and rentals of our Entre systems in the quarter ended June 30, 2019. The increase in Flexitouch system sales and rentals was largely driven by expansion of our salesforce, increased physician and patient awareness of the treatment options for lymphedema, expanded contractual coverage with national and regional insurance payers and growth in the Medicare channel.</w:t>
      </w:r>
    </w:p>
    <w:p>
      <w:pPr>
        <w:spacing w:after="0" w:line="172"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Effective January 1, 2019, the Company adopted ASU No. 2016-02, “Leases” (Topic 842) (“ASC 842”) which superseded the then-existing guidance for lease accounting, “Leases” (Topic 840) (“ASC 840”). Our rental revenue is derived from rent-to-purchase arrangements that typically range from three to ten months. Under ASC 840, our rental revenue was recognized as month-to-month cancelable leases, however, under ASC 842, these are recognized as sales-type leases.</w:t>
      </w:r>
    </w:p>
    <w:p>
      <w:pPr>
        <w:spacing w:after="0" w:line="159" w:lineRule="exact"/>
        <w:rPr>
          <w:sz w:val="20"/>
          <w:szCs w:val="20"/>
          <w:color w:val="auto"/>
        </w:rPr>
      </w:pPr>
    </w:p>
    <w:p>
      <w:pPr>
        <w:jc w:val="both"/>
        <w:spacing w:after="0"/>
        <w:rPr>
          <w:sz w:val="20"/>
          <w:szCs w:val="20"/>
          <w:color w:val="auto"/>
        </w:rPr>
      </w:pPr>
      <w:r>
        <w:rPr>
          <w:rFonts w:ascii="Arial" w:cs="Arial" w:eastAsia="Arial" w:hAnsi="Arial"/>
          <w:sz w:val="19"/>
          <w:szCs w:val="19"/>
          <w:color w:val="auto"/>
        </w:rPr>
        <w:t>In accordance with applicable guidance, we will continue to recognize rental agreements commencing prior to December 31, 2018, on a month-to-month basis as an operating lease until they are completed, which we anticipate to be in the fourth quarter of this fiscal year. Rental agreements initiated subsequent to January 1, 2019, are recorded as sales-type leases in accordance with ASC 842 whereby rental revenue and cost of rental revenue are recognized upon the lease commencement date. Total rental revenue for the first and second quarters of 2019 includes both operating and sales-type lease revenue. The impact of the Company’s adoption of ASC 842 contributed five percentage points of the year-over-year increase in total revenue in the second quarter of 2019.</w:t>
      </w:r>
    </w:p>
    <w:p>
      <w:pPr>
        <w:spacing w:after="0" w:line="156"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Gross profit for the second quarter of 2019 increased $ 7.0 million, or 28%, to $31.5 million, compared to $24.5 million in the second quarter of 2018. Gross margin was 69.7% of revenue in the second quarter of 2019, compared to 71.8% of revenue in the second quarter of 2018. The decrease in gross margin was primarily attributable to negative pricing effects of a new contract with a large commercial payer that became effective in July 2018, sales mix by product and by payer, and amortization expense related to the assets licensed from Sun Scientific, Inc. in October 2018.</w:t>
      </w:r>
    </w:p>
    <w:p>
      <w:pPr>
        <w:spacing w:after="0" w:line="169" w:lineRule="exact"/>
        <w:rPr>
          <w:sz w:val="20"/>
          <w:szCs w:val="20"/>
          <w:color w:val="auto"/>
        </w:rPr>
      </w:pPr>
    </w:p>
    <w:p>
      <w:pPr>
        <w:jc w:val="both"/>
        <w:spacing w:after="0" w:line="227" w:lineRule="auto"/>
        <w:rPr>
          <w:sz w:val="20"/>
          <w:szCs w:val="20"/>
          <w:color w:val="auto"/>
        </w:rPr>
      </w:pPr>
      <w:r>
        <w:rPr>
          <w:rFonts w:ascii="Arial" w:cs="Arial" w:eastAsia="Arial" w:hAnsi="Arial"/>
          <w:sz w:val="20"/>
          <w:szCs w:val="20"/>
          <w:color w:val="auto"/>
        </w:rPr>
        <w:t>Operating expenses for the second quarter of 2019 increased $5.2 million, or 23%, to $28.5 million, compared to $23.2 million in the second quarter of 2018. The increase in operating expenses was primarily driven by an increase of $4.0 million, or 27% year-over-year, in sales and marketing expenses due to continued investment in field sales team expansion, patient training, and marketing initiatives to increase clinician awareness. Reimbursement, general and administrative expenses increased $1.3 million, or 18%, to $8.8 million in the quarter ended June 30, 2019, compared to $7.5 million in the quarter ended June 30, 2018. This increase was primarily attributable to increased personnel-related compensation expense in our reimbursement operations, payer development and corporate functions, as well as increased legal fees.</w:t>
      </w:r>
    </w:p>
    <w:p>
      <w:pPr>
        <w:spacing w:after="0" w:line="163"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Operating income for the second quarter of 2019 increased $1.7 million, or 132%, to $3.0 million, compared to $1.3 million in the second quarter of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332740</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2" w:right="1419" w:bottom="1440" w:gutter="0" w:footer="0" w:header="0"/>
        </w:sectPr>
      </w:pPr>
    </w:p>
    <w:bookmarkStart w:id="5" w:name="page6"/>
    <w:bookmarkEnd w:id="5"/>
    <w:p>
      <w:pPr>
        <w:jc w:val="both"/>
        <w:spacing w:after="0" w:line="231" w:lineRule="auto"/>
        <w:rPr>
          <w:sz w:val="20"/>
          <w:szCs w:val="20"/>
          <w:color w:val="auto"/>
        </w:rPr>
      </w:pPr>
      <w:r>
        <w:rPr>
          <w:rFonts w:ascii="Arial" w:cs="Arial" w:eastAsia="Arial" w:hAnsi="Arial"/>
          <w:sz w:val="20"/>
          <w:szCs w:val="20"/>
          <w:color w:val="auto"/>
        </w:rPr>
        <w:t>Income tax expense for the second quarter of 2019 was $0.4 million, compared to an income tax benefit of $1.1 million in the second quarter of 2018. The change in income tax expense/benefit was primarily driven by decreased tax benefits related to share-based compensation, compared to the prior year period.</w:t>
      </w:r>
    </w:p>
    <w:p>
      <w:pPr>
        <w:spacing w:after="0" w:line="155"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Net income for the second quarter of 2019 increased $0.2 million, or 8%, to $2.8 million, or $0.14 per diluted share, compared to $2.6 million, or $0.13 per share, in the second quarter of 2018. Weighted average shares used to compute diluted net income per share were 19.6 million and 19.3 million for the second quarters of 2019 and 2018, respectively. Adjusted EBITDA increased $1.9 million or 45% to $6.2 million for the second quarter of 2019, compared to $4.3 million in the second quarter of 2018.</w:t>
      </w:r>
    </w:p>
    <w:p>
      <w:pPr>
        <w:spacing w:after="0" w:line="14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First Six Months 2019 Financial Results:</w:t>
      </w:r>
    </w:p>
    <w:p>
      <w:pPr>
        <w:spacing w:after="0" w:line="186" w:lineRule="exact"/>
        <w:rPr>
          <w:sz w:val="20"/>
          <w:szCs w:val="20"/>
          <w:color w:val="auto"/>
        </w:rPr>
      </w:pPr>
    </w:p>
    <w:p>
      <w:pPr>
        <w:jc w:val="both"/>
        <w:spacing w:after="0" w:line="242" w:lineRule="auto"/>
        <w:rPr>
          <w:sz w:val="20"/>
          <w:szCs w:val="20"/>
          <w:color w:val="auto"/>
        </w:rPr>
      </w:pPr>
      <w:r>
        <w:rPr>
          <w:rFonts w:ascii="Arial" w:cs="Arial" w:eastAsia="Arial" w:hAnsi="Arial"/>
          <w:sz w:val="19"/>
          <w:szCs w:val="19"/>
          <w:color w:val="auto"/>
        </w:rPr>
        <w:t>Total revenue for the six months ended June 30, 2019 increased $21.8 million, or 36%, to $82.8 million, compared to $61.0 million for the six months ended June 30, 2018. The increase in revenue was primarily driven by an increase of approximately $19.2 million, or 34%, year-over-year in sales of the Flexitouch system. The impact of the Company’s adoption of ASC 842 contributed seven percentage points of the year-over-year increase in total revenue in the six months ended June 30, 2019.</w:t>
      </w:r>
    </w:p>
    <w:p>
      <w:pPr>
        <w:spacing w:after="0" w:line="154" w:lineRule="exact"/>
        <w:rPr>
          <w:sz w:val="20"/>
          <w:szCs w:val="20"/>
          <w:color w:val="auto"/>
        </w:rPr>
      </w:pPr>
    </w:p>
    <w:p>
      <w:pPr>
        <w:jc w:val="both"/>
        <w:spacing w:after="0" w:line="231" w:lineRule="auto"/>
        <w:rPr>
          <w:sz w:val="20"/>
          <w:szCs w:val="20"/>
          <w:color w:val="auto"/>
        </w:rPr>
      </w:pPr>
      <w:r>
        <w:rPr>
          <w:rFonts w:ascii="Arial" w:cs="Arial" w:eastAsia="Arial" w:hAnsi="Arial"/>
          <w:sz w:val="20"/>
          <w:szCs w:val="20"/>
          <w:color w:val="auto"/>
        </w:rPr>
        <w:t>Net income for the six months ended June 30, 2019 increased $1.7 million, or 69%, to $4.3 million, or $0.22 per diluted share, compared to $2.5 million, or $0.13 per diluted share, for the six months ended June 30, 2018. Weighted average shares used to compute diluted net income per share were 19.6 million and 19.2 million for the six months ended June 30, 2019 and 2018, respectively.</w:t>
      </w:r>
    </w:p>
    <w:p>
      <w:pPr>
        <w:spacing w:after="0" w:line="168"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Adjusted EBITDA for the six months ended June 30, 2019, increased approximately $3.9 million, or 88%, to $8.3 million, compared to $4.4 million for the six months ended June 30, 2018.</w:t>
      </w:r>
    </w:p>
    <w:p>
      <w:pPr>
        <w:spacing w:after="0" w:line="131"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Cash Position</w:t>
      </w:r>
    </w:p>
    <w:p>
      <w:pPr>
        <w:spacing w:after="0" w:line="186" w:lineRule="exact"/>
        <w:rPr>
          <w:sz w:val="20"/>
          <w:szCs w:val="20"/>
          <w:color w:val="auto"/>
        </w:rPr>
      </w:pPr>
    </w:p>
    <w:p>
      <w:pPr>
        <w:jc w:val="both"/>
        <w:spacing w:after="0" w:line="232" w:lineRule="auto"/>
        <w:rPr>
          <w:sz w:val="20"/>
          <w:szCs w:val="20"/>
          <w:color w:val="auto"/>
        </w:rPr>
      </w:pPr>
      <w:r>
        <w:rPr>
          <w:rFonts w:ascii="Arial" w:cs="Arial" w:eastAsia="Arial" w:hAnsi="Arial"/>
          <w:sz w:val="20"/>
          <w:szCs w:val="20"/>
          <w:color w:val="auto"/>
        </w:rPr>
        <w:t>At June 30, 2019, cash, cash equivalents and marketable securities were $45.5 million, compared to $45.9 million at December 31, 2018. The Company had no outstanding borrowings on its $10.0 million revolving credit facility at June 30, 2019.</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2019 Financial Outlook</w:t>
      </w:r>
    </w:p>
    <w:p>
      <w:pPr>
        <w:spacing w:after="0" w:line="186" w:lineRule="exact"/>
        <w:rPr>
          <w:sz w:val="20"/>
          <w:szCs w:val="20"/>
          <w:color w:val="auto"/>
        </w:rPr>
      </w:pPr>
    </w:p>
    <w:p>
      <w:pPr>
        <w:jc w:val="both"/>
        <w:spacing w:after="0" w:line="231" w:lineRule="auto"/>
        <w:rPr>
          <w:sz w:val="20"/>
          <w:szCs w:val="20"/>
          <w:color w:val="auto"/>
        </w:rPr>
      </w:pPr>
      <w:r>
        <w:rPr>
          <w:rFonts w:ascii="Arial" w:cs="Arial" w:eastAsia="Arial" w:hAnsi="Arial"/>
          <w:sz w:val="20"/>
          <w:szCs w:val="20"/>
          <w:color w:val="auto"/>
        </w:rPr>
        <w:t>The Company now expects full year 2019 total revenue in the range of $182.0 million to $184.0 million, representing growth of 26.5% to 28% year-over-year, compared to total revenue of $143.8 million in 2018. The Company’s prior 2019 revenue guidance expectations called for total revenue in the range of $180.0 million to $182.5 million, representing growth of 25% to 27% year-over-year.</w:t>
      </w:r>
    </w:p>
    <w:p>
      <w:pPr>
        <w:spacing w:after="0" w:line="154"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2019 total revenue guidance includes the impact of the Company’s adoption of ASC 842 which is estimated to increase revenue by approximately $6.0 million for the full year.</w:t>
      </w:r>
    </w:p>
    <w:p>
      <w:pPr>
        <w:spacing w:after="0" w:line="169" w:lineRule="exact"/>
        <w:rPr>
          <w:sz w:val="20"/>
          <w:szCs w:val="20"/>
          <w:color w:val="auto"/>
        </w:rPr>
      </w:pPr>
    </w:p>
    <w:p>
      <w:pPr>
        <w:ind w:left="660" w:hanging="333"/>
        <w:spacing w:after="0" w:line="236" w:lineRule="auto"/>
        <w:tabs>
          <w:tab w:leader="none" w:pos="660" w:val="left"/>
        </w:tabs>
        <w:numPr>
          <w:ilvl w:val="0"/>
          <w:numId w:val="4"/>
        </w:numPr>
        <w:rPr>
          <w:rFonts w:ascii="Arial" w:cs="Arial" w:eastAsia="Arial" w:hAnsi="Arial"/>
          <w:sz w:val="20"/>
          <w:szCs w:val="20"/>
          <w:color w:val="auto"/>
        </w:rPr>
      </w:pPr>
      <w:r>
        <w:rPr>
          <w:rFonts w:ascii="Arial" w:cs="Arial" w:eastAsia="Arial" w:hAnsi="Arial"/>
          <w:sz w:val="20"/>
          <w:szCs w:val="20"/>
          <w:color w:val="auto"/>
        </w:rPr>
        <w:t>The updated guidance for total revenue growth of 26.5% to 28% year-over-year is expected to be driven by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443865</wp:posOffset>
            </wp:positionV>
            <wp:extent cx="575437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35" w:right="1419" w:bottom="1440" w:gutter="0" w:footer="0" w:header="0"/>
        </w:sectPr>
      </w:pPr>
    </w:p>
    <w:bookmarkStart w:id="6" w:name="page7"/>
    <w:bookmarkEnd w:id="6"/>
    <w:p>
      <w:pPr>
        <w:jc w:val="both"/>
        <w:ind w:left="1300" w:hanging="325"/>
        <w:spacing w:after="0" w:line="227" w:lineRule="auto"/>
        <w:tabs>
          <w:tab w:leader="none" w:pos="1300" w:val="left"/>
        </w:tabs>
        <w:numPr>
          <w:ilvl w:val="0"/>
          <w:numId w:val="5"/>
        </w:numPr>
        <w:rPr>
          <w:rFonts w:ascii="Courier New" w:cs="Courier New" w:eastAsia="Courier New" w:hAnsi="Courier New"/>
          <w:sz w:val="20"/>
          <w:szCs w:val="20"/>
          <w:color w:val="auto"/>
        </w:rPr>
      </w:pPr>
      <w:r>
        <w:rPr>
          <w:rFonts w:ascii="Arial" w:cs="Arial" w:eastAsia="Arial" w:hAnsi="Arial"/>
          <w:sz w:val="20"/>
          <w:szCs w:val="20"/>
          <w:color w:val="auto"/>
        </w:rPr>
        <w:t>Sales revenue for 2019 is expected to be in the range of $157.0 million to $158.5 million, compared to sales revenue of $130.2 million in 2018. This compares to the Company’s prior guidance range of $155.0 million to $157.0 million.</w:t>
      </w:r>
    </w:p>
    <w:p>
      <w:pPr>
        <w:spacing w:after="0" w:line="154" w:lineRule="exact"/>
        <w:rPr>
          <w:rFonts w:ascii="Courier New" w:cs="Courier New" w:eastAsia="Courier New" w:hAnsi="Courier New"/>
          <w:sz w:val="20"/>
          <w:szCs w:val="20"/>
          <w:color w:val="auto"/>
        </w:rPr>
      </w:pPr>
    </w:p>
    <w:p>
      <w:pPr>
        <w:jc w:val="both"/>
        <w:ind w:left="1300" w:hanging="325"/>
        <w:spacing w:after="0" w:line="226" w:lineRule="auto"/>
        <w:tabs>
          <w:tab w:leader="none" w:pos="1300" w:val="left"/>
        </w:tabs>
        <w:numPr>
          <w:ilvl w:val="0"/>
          <w:numId w:val="5"/>
        </w:numPr>
        <w:rPr>
          <w:rFonts w:ascii="Courier New" w:cs="Courier New" w:eastAsia="Courier New" w:hAnsi="Courier New"/>
          <w:sz w:val="20"/>
          <w:szCs w:val="20"/>
          <w:color w:val="auto"/>
        </w:rPr>
      </w:pPr>
      <w:r>
        <w:rPr>
          <w:rFonts w:ascii="Arial" w:cs="Arial" w:eastAsia="Arial" w:hAnsi="Arial"/>
          <w:sz w:val="20"/>
          <w:szCs w:val="20"/>
          <w:color w:val="auto"/>
        </w:rPr>
        <w:t>Rental revenue for 2019 is expected to be in the range of $25.0 million to $25.5 million, compared to rental revenue of $13.6 million in 2018, unchanged from the Company’s prior guidance range. The projected year-over-year increase in rental revenue for 2019 is expected to be driven by:</w:t>
      </w:r>
    </w:p>
    <w:p>
      <w:pPr>
        <w:spacing w:after="0" w:line="157" w:lineRule="exact"/>
        <w:rPr>
          <w:rFonts w:ascii="Courier New" w:cs="Courier New" w:eastAsia="Courier New" w:hAnsi="Courier New"/>
          <w:sz w:val="20"/>
          <w:szCs w:val="20"/>
          <w:color w:val="auto"/>
        </w:rPr>
      </w:pPr>
    </w:p>
    <w:p>
      <w:pPr>
        <w:ind w:left="1940" w:hanging="317"/>
        <w:spacing w:after="0" w:line="236" w:lineRule="auto"/>
        <w:tabs>
          <w:tab w:leader="none" w:pos="1940" w:val="left"/>
        </w:tabs>
        <w:numPr>
          <w:ilvl w:val="1"/>
          <w:numId w:val="5"/>
        </w:numPr>
        <w:rPr>
          <w:rFonts w:ascii="Arial" w:cs="Arial" w:eastAsia="Arial" w:hAnsi="Arial"/>
          <w:sz w:val="20"/>
          <w:szCs w:val="20"/>
          <w:color w:val="auto"/>
        </w:rPr>
      </w:pPr>
      <w:r>
        <w:rPr>
          <w:rFonts w:ascii="Arial" w:cs="Arial" w:eastAsia="Arial" w:hAnsi="Arial"/>
          <w:sz w:val="20"/>
          <w:szCs w:val="20"/>
          <w:color w:val="auto"/>
        </w:rPr>
        <w:t>the impact of the adoption of ASC 842 – representing approximately half of the expected increase in rental revenue for 2019;</w:t>
      </w:r>
    </w:p>
    <w:p>
      <w:pPr>
        <w:spacing w:after="0" w:line="155" w:lineRule="exact"/>
        <w:rPr>
          <w:rFonts w:ascii="Arial" w:cs="Arial" w:eastAsia="Arial" w:hAnsi="Arial"/>
          <w:sz w:val="20"/>
          <w:szCs w:val="20"/>
          <w:color w:val="auto"/>
        </w:rPr>
      </w:pPr>
    </w:p>
    <w:p>
      <w:pPr>
        <w:jc w:val="both"/>
        <w:ind w:left="1940" w:hanging="317"/>
        <w:spacing w:after="0" w:line="232" w:lineRule="auto"/>
        <w:tabs>
          <w:tab w:leader="none" w:pos="1940" w:val="left"/>
        </w:tabs>
        <w:numPr>
          <w:ilvl w:val="1"/>
          <w:numId w:val="5"/>
        </w:numPr>
        <w:rPr>
          <w:rFonts w:ascii="Arial" w:cs="Arial" w:eastAsia="Arial" w:hAnsi="Arial"/>
          <w:sz w:val="20"/>
          <w:szCs w:val="20"/>
          <w:color w:val="auto"/>
        </w:rPr>
      </w:pPr>
      <w:r>
        <w:rPr>
          <w:rFonts w:ascii="Arial" w:cs="Arial" w:eastAsia="Arial" w:hAnsi="Arial"/>
          <w:sz w:val="20"/>
          <w:szCs w:val="20"/>
          <w:color w:val="auto"/>
        </w:rPr>
        <w:t>the reclassification of garment revenue to rental revenue that was previously reported in sales revenue – representing approximately one quarter of the expected increase in rental revenue for 2019; and</w:t>
      </w:r>
    </w:p>
    <w:p>
      <w:pPr>
        <w:spacing w:after="0" w:line="156" w:lineRule="exact"/>
        <w:rPr>
          <w:rFonts w:ascii="Arial" w:cs="Arial" w:eastAsia="Arial" w:hAnsi="Arial"/>
          <w:sz w:val="20"/>
          <w:szCs w:val="20"/>
          <w:color w:val="auto"/>
        </w:rPr>
      </w:pPr>
    </w:p>
    <w:p>
      <w:pPr>
        <w:ind w:left="1940" w:hanging="317"/>
        <w:spacing w:after="0" w:line="236" w:lineRule="auto"/>
        <w:tabs>
          <w:tab w:leader="none" w:pos="1940" w:val="left"/>
        </w:tabs>
        <w:numPr>
          <w:ilvl w:val="1"/>
          <w:numId w:val="5"/>
        </w:numPr>
        <w:rPr>
          <w:rFonts w:ascii="Arial" w:cs="Arial" w:eastAsia="Arial" w:hAnsi="Arial"/>
          <w:sz w:val="20"/>
          <w:szCs w:val="20"/>
          <w:color w:val="auto"/>
        </w:rPr>
      </w:pPr>
      <w:r>
        <w:rPr>
          <w:rFonts w:ascii="Arial" w:cs="Arial" w:eastAsia="Arial" w:hAnsi="Arial"/>
          <w:sz w:val="20"/>
          <w:szCs w:val="20"/>
          <w:color w:val="auto"/>
        </w:rPr>
        <w:t>operational growth of 20% to 22% over 2018 rental revenue – representing approximately one quarter of the expected increase in rental revenue for 2019.</w:t>
      </w:r>
    </w:p>
    <w:p>
      <w:pPr>
        <w:spacing w:after="0" w:line="145"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Conference Call</w:t>
      </w:r>
    </w:p>
    <w:p>
      <w:pPr>
        <w:spacing w:after="0" w:line="186"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Management will host a conference call at 5:00 p.m. Eastern Time on August 5 to discuss the results of the quarter with a question and answer session. Those who would like to participate may dial 833-286-5804 (647-689-4449 for international callers) and provide access code 8428379. A live webcast of the call will also be provided on the investor relations section of the Company's website at investors.tactilemedical.com.</w:t>
      </w:r>
    </w:p>
    <w:p>
      <w:pPr>
        <w:spacing w:after="0" w:line="172" w:lineRule="exact"/>
        <w:rPr>
          <w:sz w:val="20"/>
          <w:szCs w:val="20"/>
          <w:color w:val="auto"/>
        </w:rPr>
      </w:pPr>
    </w:p>
    <w:p>
      <w:pPr>
        <w:jc w:val="both"/>
        <w:spacing w:after="0" w:line="232" w:lineRule="auto"/>
        <w:rPr>
          <w:sz w:val="20"/>
          <w:szCs w:val="20"/>
          <w:color w:val="auto"/>
        </w:rPr>
      </w:pPr>
      <w:r>
        <w:rPr>
          <w:rFonts w:ascii="Arial" w:cs="Arial" w:eastAsia="Arial" w:hAnsi="Arial"/>
          <w:sz w:val="20"/>
          <w:szCs w:val="20"/>
          <w:color w:val="auto"/>
        </w:rPr>
        <w:t>For those unable to participate, a replay of the call will be available for two weeks at 800-585-8367 (416-621-4642 for international callers); access code 8428379. The webcast will be archived at investors.tactilemedical.com.</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About Tactile Systems Technology, Inc. (DBA Tactile Medical)</w:t>
      </w:r>
    </w:p>
    <w:p>
      <w:pPr>
        <w:spacing w:after="0" w:line="226" w:lineRule="exact"/>
        <w:rPr>
          <w:sz w:val="20"/>
          <w:szCs w:val="20"/>
          <w:color w:val="auto"/>
        </w:rPr>
      </w:pPr>
    </w:p>
    <w:p>
      <w:pPr>
        <w:ind w:right="120"/>
        <w:spacing w:after="0" w:line="227" w:lineRule="auto"/>
        <w:rPr>
          <w:sz w:val="20"/>
          <w:szCs w:val="20"/>
          <w:color w:val="auto"/>
        </w:rPr>
      </w:pPr>
      <w:r>
        <w:rPr>
          <w:rFonts w:ascii="Arial" w:cs="Arial" w:eastAsia="Arial" w:hAnsi="Arial"/>
          <w:sz w:val="20"/>
          <w:szCs w:val="20"/>
          <w:color w:val="auto"/>
        </w:rPr>
        <w:t>Tactile Medical is a leader in developing and marketing at-home therapy devices that treat chronic swelling conditions such as lymphedema and chronic venous insufficiency. Tactile Medical’s Mission is to help people suffering from chronic diseases live better and care for themselves at home. The Company’s unique offering includes advanced, clinically proven pneumatic compression devices, as well as continuity of care services provided by a national network of product specialists and trainers, reimbursement experts, patient advocates and clinicians. This combination of products and services ensures that tens of thousands of patients annually receive the at-home treatment necessary to better manage their chronic conditions. Tactile Medical takes pride in the fact that our solutions help increase clinical efficacy, reduce overall healthcare costs and improve the quality of life for patients with chronic conditions.</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Legal Notice Regarding Forward-Looking Statements</w:t>
      </w:r>
    </w:p>
    <w:p>
      <w:pPr>
        <w:spacing w:after="0" w:line="226" w:lineRule="exact"/>
        <w:rPr>
          <w:sz w:val="20"/>
          <w:szCs w:val="20"/>
          <w:color w:val="auto"/>
        </w:rPr>
      </w:pPr>
    </w:p>
    <w:p>
      <w:pPr>
        <w:spacing w:after="0" w:line="236" w:lineRule="auto"/>
        <w:rPr>
          <w:sz w:val="20"/>
          <w:szCs w:val="20"/>
          <w:color w:val="auto"/>
        </w:rPr>
      </w:pPr>
      <w:r>
        <w:rPr>
          <w:rFonts w:ascii="Arial" w:cs="Arial" w:eastAsia="Arial" w:hAnsi="Arial"/>
          <w:sz w:val="20"/>
          <w:szCs w:val="20"/>
          <w:color w:val="auto"/>
        </w:rPr>
        <w:t>This release contains forward-looking statements. Forward-looking statements are generally identifiable by the use of words like “may,” “will,” “should,” “could,” “expect,” “anticipate,” “estimate,”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332740</wp:posOffset>
            </wp:positionV>
            <wp:extent cx="575437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35" w:right="1419" w:bottom="1440" w:gutter="0" w:footer="0" w:header="0"/>
        </w:sectPr>
      </w:pPr>
    </w:p>
    <w:bookmarkStart w:id="7" w:name="page8"/>
    <w:bookmarkEnd w:id="7"/>
    <w:p>
      <w:pPr>
        <w:jc w:val="both"/>
        <w:spacing w:after="0" w:line="226" w:lineRule="auto"/>
        <w:rPr>
          <w:sz w:val="20"/>
          <w:szCs w:val="20"/>
          <w:color w:val="auto"/>
        </w:rPr>
      </w:pPr>
      <w:r>
        <w:rPr>
          <w:rFonts w:ascii="Arial" w:cs="Arial" w:eastAsia="Arial" w:hAnsi="Arial"/>
          <w:sz w:val="20"/>
          <w:szCs w:val="20"/>
          <w:color w:val="auto"/>
        </w:rPr>
        <w:t>“believe,” “intend,” “confident,” “outlook,” “guidance,” “project,” “goals” or “look forward” or the negative of these words or other variations on these words or comparable terminology. The reader is cautioned not to put undue reliance on these forward-looking statements, as these statements are subject to numerous factors and uncertainties outside of the Company’s control that can make such statements untrue, including, but not limited to, the adequacy of the Company’s liquidity to pursue its complete business objectives; the Company’s ability to obtain reimbursement from third party payers for its products; loss or retirement of key executives; adverse economic conditions or intense competition; loss of a key supplier; entry of new competitors and products; adverse federal, state and local government regulation; technological obsolescence of the Company’s products; technical problems with the Company’s research and products; the Company’s ability to expand its business through strategic acquisitions; the Company’s ability to integrate acquisitions and related businesses; price increases for supplies and components; the effects of current and future U.S. and foreign trade policy and tariff actions; or the inability to carry out research, development and commercialization plans. In addition, other factors that could cause actual results to differ materially are discussed in the Company’s filings with the SEC. Investors and security holders are urged to read these documents free of charge on the SEC’s website at http://www.sec.gov. The Company undertakes no obligation to publicly update or revise its forward-looking statements as a result of new information, future events or otherwise.</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Use of Non-GAAP Financial Measures</w:t>
      </w:r>
    </w:p>
    <w:p>
      <w:pPr>
        <w:spacing w:after="0" w:line="226"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This press release includes the non-GAAP financial measure of Adjusted EBITDA, which differs from financial measures calculated in accordance with U.S. generally accepted accounting principles (“GAAP”). Adjusted EBITDA in this release represents net income less interest income, net, less income tax benefit or plus income tax expense, plus depreciation and amortization, and stock-based compensation expense. A reconciliation of Adjusted EBITDA to net income is included in this press release.</w:t>
      </w:r>
    </w:p>
    <w:p>
      <w:pPr>
        <w:spacing w:after="0" w:line="196" w:lineRule="exact"/>
        <w:rPr>
          <w:sz w:val="20"/>
          <w:szCs w:val="20"/>
          <w:color w:val="auto"/>
        </w:rPr>
      </w:pPr>
    </w:p>
    <w:p>
      <w:pPr>
        <w:jc w:val="both"/>
        <w:spacing w:after="0" w:line="227" w:lineRule="auto"/>
        <w:rPr>
          <w:sz w:val="20"/>
          <w:szCs w:val="20"/>
          <w:color w:val="auto"/>
        </w:rPr>
      </w:pPr>
      <w:r>
        <w:rPr>
          <w:rFonts w:ascii="Arial" w:cs="Arial" w:eastAsia="Arial" w:hAnsi="Arial"/>
          <w:sz w:val="20"/>
          <w:szCs w:val="20"/>
          <w:color w:val="auto"/>
        </w:rPr>
        <w:t>Adjusted EBITDA is presented because the Company believes it is a useful indicator of its operating performance. Management uses the measure principally as a measure of the Company’s operating performance and for planning purposes, including the preparation of the Company’s annual operating budget and financial projections. The Company believes this measure is useful to investors as supplemental information and because it is frequently used by analysts, investors and other interested parties to evaluate companies in its industry. The Company believes Adjusted EBITDA is useful to its management and investors as a measure of comparative operating performance from period to period. In addition, Adjusted EBITDA is used as a performance metric in the Company’s compensation program.</w:t>
      </w:r>
    </w:p>
    <w:p>
      <w:pPr>
        <w:spacing w:after="0" w:line="203" w:lineRule="exact"/>
        <w:rPr>
          <w:sz w:val="20"/>
          <w:szCs w:val="20"/>
          <w:color w:val="auto"/>
        </w:rPr>
      </w:pPr>
    </w:p>
    <w:p>
      <w:pPr>
        <w:jc w:val="both"/>
        <w:spacing w:after="0" w:line="228" w:lineRule="auto"/>
        <w:rPr>
          <w:sz w:val="20"/>
          <w:szCs w:val="20"/>
          <w:color w:val="auto"/>
        </w:rPr>
      </w:pPr>
      <w:r>
        <w:rPr>
          <w:rFonts w:ascii="Arial" w:cs="Arial" w:eastAsia="Arial" w:hAnsi="Arial"/>
          <w:sz w:val="20"/>
          <w:szCs w:val="20"/>
          <w:color w:val="auto"/>
        </w:rPr>
        <w:t>Adjusted EBITDA is a non-GAAP financial measure and should not be considered as an alternative to, or superior to, net income or loss, as a measure of financial performance or cash flows from operations as a measure of liquidity, or any other performance measure derived in accordance with GAAP, and it should not be construed to imply that the Company’s future results will be unaffected by unusual or non-recurring items. In addition, Adjusted EBITDA is not intended to be a measure of free cash flow for management’s discretionary use, as it does not reflect certain cash requirements such as tax payments, debt service requirements, capital expenditures and certain other cash costs that may recur in the future. Adjusted EBITDA contains certain other limitations, including the failure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333375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35" w:right="1419" w:bottom="1440" w:gutter="0" w:footer="0" w:header="0"/>
        </w:sectPr>
      </w:pPr>
    </w:p>
    <w:bookmarkStart w:id="8" w:name="page9"/>
    <w:bookmarkEnd w:id="8"/>
    <w:p>
      <w:pPr>
        <w:jc w:val="both"/>
        <w:spacing w:after="0"/>
        <w:rPr>
          <w:sz w:val="20"/>
          <w:szCs w:val="20"/>
          <w:color w:val="auto"/>
        </w:rPr>
      </w:pPr>
      <w:r>
        <w:rPr>
          <w:rFonts w:ascii="Arial" w:cs="Arial" w:eastAsia="Arial" w:hAnsi="Arial"/>
          <w:sz w:val="19"/>
          <w:szCs w:val="19"/>
          <w:color w:val="auto"/>
        </w:rPr>
        <w:t>to reflect our cash expenditures, cash requirements for working capital needs and cash costs to replace assets being depreciated and amortized. In evaluating Adjusted EBITDA, you should be aware that in the future the Company may incur expenses that are the same as or similar to some of the adjustments in this presentation. The Company’s presentation of Adjusted EBITDA should not be construed to imply that its future results will be unaffected by any such adjustments. Management compensates for these limitations by primarily relying on the Company’s GAAP results in addition to using non-GAAP financial measures on a supplemental basis. The Company’s definition of Adjusted EBITDA is not necessarily comparable to other similarly titled captions of other companies due to different methods of calculation.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333375</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35" w:right="141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jc w:val="center"/>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6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jc w:val="right"/>
              <w:ind w:right="30"/>
              <w:spacing w:after="0" w:line="181" w:lineRule="exact"/>
              <w:rPr>
                <w:sz w:val="20"/>
                <w:szCs w:val="20"/>
                <w:color w:val="auto"/>
              </w:rPr>
            </w:pPr>
            <w:r>
              <w:rPr>
                <w:rFonts w:ascii="Arial" w:cs="Arial" w:eastAsia="Arial" w:hAnsi="Arial"/>
                <w:sz w:val="18"/>
                <w:szCs w:val="18"/>
                <w:b w:val="1"/>
                <w:bCs w:val="1"/>
                <w:color w:val="auto"/>
              </w:rPr>
              <w:t>December</w:t>
            </w:r>
          </w:p>
        </w:tc>
      </w:tr>
      <w:tr>
        <w:trPr>
          <w:trHeight w:val="203"/>
        </w:trPr>
        <w:tc>
          <w:tcPr>
            <w:tcW w:w="63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110"/>
              <w:spacing w:after="0" w:line="202" w:lineRule="exact"/>
              <w:rPr>
                <w:sz w:val="20"/>
                <w:szCs w:val="20"/>
                <w:color w:val="auto"/>
              </w:rPr>
            </w:pPr>
            <w:r>
              <w:rPr>
                <w:rFonts w:ascii="Arial" w:cs="Arial" w:eastAsia="Arial" w:hAnsi="Arial"/>
                <w:sz w:val="18"/>
                <w:szCs w:val="18"/>
                <w:b w:val="1"/>
                <w:bCs w:val="1"/>
                <w:color w:val="auto"/>
              </w:rPr>
              <w:t>June 30,</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ind w:right="350"/>
              <w:spacing w:after="0" w:line="202" w:lineRule="exact"/>
              <w:rPr>
                <w:sz w:val="20"/>
                <w:szCs w:val="20"/>
                <w:color w:val="auto"/>
              </w:rPr>
            </w:pPr>
            <w:r>
              <w:rPr>
                <w:rFonts w:ascii="Arial" w:cs="Arial" w:eastAsia="Arial" w:hAnsi="Arial"/>
                <w:sz w:val="18"/>
                <w:szCs w:val="18"/>
                <w:b w:val="1"/>
                <w:bCs w:val="1"/>
                <w:color w:val="auto"/>
              </w:rPr>
              <w:t>31,</w:t>
            </w:r>
          </w:p>
        </w:tc>
      </w:tr>
      <w:tr>
        <w:trPr>
          <w:trHeight w:val="225"/>
        </w:trPr>
        <w:tc>
          <w:tcPr>
            <w:tcW w:w="63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share and per share data)</w:t>
            </w:r>
          </w:p>
        </w:tc>
        <w:tc>
          <w:tcPr>
            <w:tcW w:w="2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2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r>
      <w:tr>
        <w:trPr>
          <w:trHeight w:val="196"/>
        </w:trPr>
        <w:tc>
          <w:tcPr>
            <w:tcW w:w="636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Assets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r>
      <w:tr>
        <w:trPr>
          <w:trHeight w:val="203"/>
        </w:trPr>
        <w:tc>
          <w:tcPr>
            <w:tcW w:w="6360" w:type="dxa"/>
            <w:vAlign w:val="bottom"/>
          </w:tcPr>
          <w:p>
            <w:pPr>
              <w:spacing w:after="0" w:line="202" w:lineRule="exact"/>
              <w:rPr>
                <w:sz w:val="20"/>
                <w:szCs w:val="20"/>
                <w:color w:val="auto"/>
              </w:rPr>
            </w:pPr>
            <w:r>
              <w:rPr>
                <w:rFonts w:ascii="Arial" w:cs="Arial" w:eastAsia="Arial" w:hAnsi="Arial"/>
                <w:sz w:val="18"/>
                <w:szCs w:val="18"/>
                <w:b w:val="1"/>
                <w:bCs w:val="1"/>
                <w:color w:val="auto"/>
              </w:rPr>
              <w:t>Current assets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25,040</w:t>
            </w:r>
          </w:p>
        </w:tc>
        <w:tc>
          <w:tcPr>
            <w:tcW w:w="3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Marketable securities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20,424</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25,786</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Accounts receivable, net</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24,758</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24,332</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Net investment in leases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5,869</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Inventories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13,165</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11,189</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Income taxes receivable</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3,253</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1,793</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Prepaid expenses and other current assets</w:t>
            </w:r>
          </w:p>
        </w:tc>
        <w:tc>
          <w:tcPr>
            <w:tcW w:w="2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1,570</w:t>
            </w:r>
          </w:p>
        </w:tc>
        <w:tc>
          <w:tcPr>
            <w:tcW w:w="2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1,762</w:t>
            </w:r>
          </w:p>
        </w:tc>
      </w:tr>
      <w:tr>
        <w:trPr>
          <w:trHeight w:val="196"/>
        </w:trPr>
        <w:tc>
          <w:tcPr>
            <w:tcW w:w="6360" w:type="dxa"/>
            <w:vAlign w:val="bottom"/>
          </w:tcPr>
          <w:p>
            <w:pPr>
              <w:ind w:left="440"/>
              <w:spacing w:after="0" w:line="196" w:lineRule="exact"/>
              <w:rPr>
                <w:sz w:val="20"/>
                <w:szCs w:val="20"/>
                <w:color w:val="auto"/>
              </w:rPr>
            </w:pPr>
            <w:r>
              <w:rPr>
                <w:rFonts w:ascii="Arial" w:cs="Arial" w:eastAsia="Arial" w:hAnsi="Arial"/>
                <w:sz w:val="18"/>
                <w:szCs w:val="18"/>
                <w:color w:val="auto"/>
              </w:rPr>
              <w:t>Total current assets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94,079</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196" w:lineRule="exact"/>
              <w:rPr>
                <w:sz w:val="20"/>
                <w:szCs w:val="20"/>
                <w:color w:val="auto"/>
              </w:rPr>
            </w:pPr>
            <w:r>
              <w:rPr>
                <w:rFonts w:ascii="Arial" w:cs="Arial" w:eastAsia="Arial" w:hAnsi="Arial"/>
                <w:sz w:val="18"/>
                <w:szCs w:val="18"/>
                <w:color w:val="auto"/>
              </w:rPr>
              <w:t>84,961</w:t>
            </w:r>
          </w:p>
        </w:tc>
      </w:tr>
      <w:tr>
        <w:trPr>
          <w:trHeight w:val="203"/>
        </w:trPr>
        <w:tc>
          <w:tcPr>
            <w:tcW w:w="636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Non-current assets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Property and equipment, net</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4,978</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4,810</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Right of use operating lease assets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3,298</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Intangible assets, net</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5,157</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5,339</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Medicare accounts receivable, non-current</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2,609</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1,884</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Deferred income taxes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10,357</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8,820</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Other non-current assets</w:t>
            </w:r>
          </w:p>
        </w:tc>
        <w:tc>
          <w:tcPr>
            <w:tcW w:w="2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1,358</w:t>
            </w:r>
          </w:p>
        </w:tc>
        <w:tc>
          <w:tcPr>
            <w:tcW w:w="2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1,257</w:t>
            </w:r>
          </w:p>
        </w:tc>
      </w:tr>
      <w:tr>
        <w:trPr>
          <w:trHeight w:val="196"/>
        </w:trPr>
        <w:tc>
          <w:tcPr>
            <w:tcW w:w="6360" w:type="dxa"/>
            <w:vAlign w:val="bottom"/>
            <w:tcBorders>
              <w:bottom w:val="single" w:sz="8" w:color="CCEEFF"/>
            </w:tcBorders>
          </w:tcPr>
          <w:p>
            <w:pPr>
              <w:ind w:left="440"/>
              <w:spacing w:after="0" w:line="196" w:lineRule="exact"/>
              <w:rPr>
                <w:sz w:val="20"/>
                <w:szCs w:val="20"/>
                <w:color w:val="auto"/>
              </w:rPr>
            </w:pPr>
            <w:r>
              <w:rPr>
                <w:rFonts w:ascii="Arial" w:cs="Arial" w:eastAsia="Arial" w:hAnsi="Arial"/>
                <w:sz w:val="18"/>
                <w:szCs w:val="18"/>
                <w:color w:val="auto"/>
              </w:rPr>
              <w:t>Total non-current assets</w:t>
            </w:r>
          </w:p>
        </w:tc>
        <w:tc>
          <w:tcPr>
            <w:tcW w:w="2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27,757</w:t>
            </w:r>
          </w:p>
        </w:tc>
        <w:tc>
          <w:tcPr>
            <w:tcW w:w="2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22,110</w:t>
            </w:r>
          </w:p>
        </w:tc>
      </w:tr>
      <w:tr>
        <w:trPr>
          <w:trHeight w:val="216"/>
        </w:trPr>
        <w:tc>
          <w:tcPr>
            <w:tcW w:w="6360" w:type="dxa"/>
            <w:vAlign w:val="bottom"/>
            <w:tcBorders>
              <w:bottom w:val="single" w:sz="8" w:color="CCEEFF"/>
            </w:tcBorders>
            <w:shd w:val="clear" w:color="auto" w:fill="CCEEFF"/>
          </w:tcPr>
          <w:p>
            <w:pPr>
              <w:ind w:left="660"/>
              <w:spacing w:after="0" w:line="196" w:lineRule="exact"/>
              <w:rPr>
                <w:sz w:val="20"/>
                <w:szCs w:val="20"/>
                <w:color w:val="auto"/>
              </w:rPr>
            </w:pPr>
            <w:r>
              <w:rPr>
                <w:rFonts w:ascii="Arial" w:cs="Arial" w:eastAsia="Arial" w:hAnsi="Arial"/>
                <w:sz w:val="18"/>
                <w:szCs w:val="18"/>
                <w:b w:val="1"/>
                <w:bCs w:val="1"/>
                <w:color w:val="auto"/>
              </w:rPr>
              <w:t>Total assets</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121,836</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107,071</w:t>
            </w:r>
          </w:p>
        </w:tc>
      </w:tr>
      <w:tr>
        <w:trPr>
          <w:trHeight w:val="190"/>
        </w:trPr>
        <w:tc>
          <w:tcPr>
            <w:tcW w:w="6360" w:type="dxa"/>
            <w:vAlign w:val="bottom"/>
          </w:tcPr>
          <w:p>
            <w:pPr>
              <w:spacing w:after="0" w:line="189" w:lineRule="exact"/>
              <w:rPr>
                <w:sz w:val="20"/>
                <w:szCs w:val="20"/>
                <w:color w:val="auto"/>
              </w:rPr>
            </w:pPr>
            <w:r>
              <w:rPr>
                <w:rFonts w:ascii="Arial" w:cs="Arial" w:eastAsia="Arial" w:hAnsi="Arial"/>
                <w:sz w:val="18"/>
                <w:szCs w:val="18"/>
                <w:b w:val="1"/>
                <w:bCs w:val="1"/>
                <w:i w:val="1"/>
                <w:iCs w:val="1"/>
                <w:color w:val="auto"/>
              </w:rPr>
              <w:t>Liabilities and Stockholders' Equity</w:t>
            </w: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3"/>
        </w:trPr>
        <w:tc>
          <w:tcPr>
            <w:tcW w:w="636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Current liabilities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Accounts payable</w:t>
            </w:r>
          </w:p>
        </w:tc>
        <w:tc>
          <w:tcPr>
            <w:tcW w:w="3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6,855</w:t>
            </w:r>
          </w:p>
        </w:tc>
        <w:tc>
          <w:tcPr>
            <w:tcW w:w="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5,110</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Accrued payroll and related taxes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7,006</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7,421</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2,696</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2,785</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Operating lease liabilities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1,291</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6360" w:type="dxa"/>
            <w:vAlign w:val="bottom"/>
            <w:tcBorders>
              <w:bottom w:val="single" w:sz="8" w:color="CCEEFF"/>
            </w:tcBorders>
          </w:tcPr>
          <w:p>
            <w:pPr>
              <w:ind w:left="220"/>
              <w:spacing w:after="0" w:line="202" w:lineRule="exact"/>
              <w:rPr>
                <w:sz w:val="20"/>
                <w:szCs w:val="20"/>
                <w:color w:val="auto"/>
              </w:rPr>
            </w:pPr>
            <w:r>
              <w:rPr>
                <w:rFonts w:ascii="Arial" w:cs="Arial" w:eastAsia="Arial" w:hAnsi="Arial"/>
                <w:sz w:val="18"/>
                <w:szCs w:val="18"/>
                <w:color w:val="auto"/>
              </w:rPr>
              <w:t>Other current liabilities</w:t>
            </w:r>
          </w:p>
        </w:tc>
        <w:tc>
          <w:tcPr>
            <w:tcW w:w="2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810</w:t>
            </w:r>
          </w:p>
        </w:tc>
        <w:tc>
          <w:tcPr>
            <w:tcW w:w="2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760</w:t>
            </w:r>
          </w:p>
        </w:tc>
      </w:tr>
      <w:tr>
        <w:trPr>
          <w:trHeight w:val="196"/>
        </w:trPr>
        <w:tc>
          <w:tcPr>
            <w:tcW w:w="6360" w:type="dxa"/>
            <w:vAlign w:val="bottom"/>
            <w:shd w:val="clear" w:color="auto" w:fill="CCEEFF"/>
          </w:tcPr>
          <w:p>
            <w:pPr>
              <w:ind w:left="440"/>
              <w:spacing w:after="0" w:line="196" w:lineRule="exact"/>
              <w:rPr>
                <w:sz w:val="20"/>
                <w:szCs w:val="20"/>
                <w:color w:val="auto"/>
              </w:rPr>
            </w:pPr>
            <w:r>
              <w:rPr>
                <w:rFonts w:ascii="Arial" w:cs="Arial" w:eastAsia="Arial" w:hAnsi="Arial"/>
                <w:sz w:val="18"/>
                <w:szCs w:val="18"/>
                <w:color w:val="auto"/>
              </w:rPr>
              <w:t>Total current liabilities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18,658</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16,076</w:t>
            </w:r>
          </w:p>
        </w:tc>
      </w:tr>
      <w:tr>
        <w:trPr>
          <w:trHeight w:val="203"/>
        </w:trPr>
        <w:tc>
          <w:tcPr>
            <w:tcW w:w="6360" w:type="dxa"/>
            <w:vAlign w:val="bottom"/>
          </w:tcPr>
          <w:p>
            <w:pPr>
              <w:spacing w:after="0" w:line="202" w:lineRule="exact"/>
              <w:rPr>
                <w:sz w:val="20"/>
                <w:szCs w:val="20"/>
                <w:color w:val="auto"/>
              </w:rPr>
            </w:pPr>
            <w:r>
              <w:rPr>
                <w:rFonts w:ascii="Arial" w:cs="Arial" w:eastAsia="Arial" w:hAnsi="Arial"/>
                <w:sz w:val="18"/>
                <w:szCs w:val="18"/>
                <w:b w:val="1"/>
                <w:bCs w:val="1"/>
                <w:color w:val="auto"/>
              </w:rPr>
              <w:t>Non-current liabilities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Accrued warranty reserve, non-current</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2,044</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1,725</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Income taxes, non-current</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53</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Operating lease liabilities, non-current</w:t>
            </w:r>
          </w:p>
        </w:tc>
        <w:tc>
          <w:tcPr>
            <w:tcW w:w="2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2,073</w:t>
            </w:r>
          </w:p>
        </w:tc>
        <w:tc>
          <w:tcPr>
            <w:tcW w:w="2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r>
      <w:tr>
        <w:trPr>
          <w:trHeight w:val="196"/>
        </w:trPr>
        <w:tc>
          <w:tcPr>
            <w:tcW w:w="6360" w:type="dxa"/>
            <w:vAlign w:val="bottom"/>
            <w:tcBorders>
              <w:bottom w:val="single" w:sz="8" w:color="CCEEFF"/>
            </w:tcBorders>
          </w:tcPr>
          <w:p>
            <w:pPr>
              <w:ind w:left="440"/>
              <w:spacing w:after="0" w:line="196" w:lineRule="exact"/>
              <w:rPr>
                <w:sz w:val="20"/>
                <w:szCs w:val="20"/>
                <w:color w:val="auto"/>
              </w:rPr>
            </w:pPr>
            <w:r>
              <w:rPr>
                <w:rFonts w:ascii="Arial" w:cs="Arial" w:eastAsia="Arial" w:hAnsi="Arial"/>
                <w:sz w:val="18"/>
                <w:szCs w:val="18"/>
                <w:color w:val="auto"/>
              </w:rPr>
              <w:t>Total non-current liabilities</w:t>
            </w:r>
          </w:p>
        </w:tc>
        <w:tc>
          <w:tcPr>
            <w:tcW w:w="2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4,170</w:t>
            </w:r>
          </w:p>
        </w:tc>
        <w:tc>
          <w:tcPr>
            <w:tcW w:w="2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1,725</w:t>
            </w:r>
          </w:p>
        </w:tc>
      </w:tr>
      <w:tr>
        <w:trPr>
          <w:trHeight w:val="196"/>
        </w:trPr>
        <w:tc>
          <w:tcPr>
            <w:tcW w:w="6360" w:type="dxa"/>
            <w:vAlign w:val="bottom"/>
            <w:shd w:val="clear" w:color="auto" w:fill="CCEEFF"/>
          </w:tcPr>
          <w:p>
            <w:pPr>
              <w:ind w:left="660"/>
              <w:spacing w:after="0" w:line="196" w:lineRule="exact"/>
              <w:rPr>
                <w:sz w:val="20"/>
                <w:szCs w:val="20"/>
                <w:color w:val="auto"/>
              </w:rPr>
            </w:pPr>
            <w:r>
              <w:rPr>
                <w:rFonts w:ascii="Arial" w:cs="Arial" w:eastAsia="Arial" w:hAnsi="Arial"/>
                <w:sz w:val="18"/>
                <w:szCs w:val="18"/>
                <w:b w:val="1"/>
                <w:bCs w:val="1"/>
                <w:color w:val="auto"/>
              </w:rPr>
              <w:t>Total liabilities</w:t>
            </w:r>
          </w:p>
        </w:tc>
        <w:tc>
          <w:tcPr>
            <w:tcW w:w="2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22,828</w:t>
            </w:r>
          </w:p>
        </w:tc>
        <w:tc>
          <w:tcPr>
            <w:tcW w:w="2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17,801</w:t>
            </w:r>
          </w:p>
        </w:tc>
      </w:tr>
      <w:tr>
        <w:trPr>
          <w:trHeight w:val="196"/>
        </w:trPr>
        <w:tc>
          <w:tcPr>
            <w:tcW w:w="6360" w:type="dxa"/>
            <w:vAlign w:val="bottom"/>
          </w:tcPr>
          <w:p>
            <w:pPr>
              <w:spacing w:after="0" w:line="196" w:lineRule="exact"/>
              <w:rPr>
                <w:sz w:val="20"/>
                <w:szCs w:val="20"/>
                <w:color w:val="auto"/>
              </w:rPr>
            </w:pPr>
            <w:r>
              <w:rPr>
                <w:rFonts w:ascii="Arial" w:cs="Arial" w:eastAsia="Arial" w:hAnsi="Arial"/>
                <w:sz w:val="18"/>
                <w:szCs w:val="18"/>
                <w:b w:val="1"/>
                <w:bCs w:val="1"/>
                <w:color w:val="auto"/>
              </w:rPr>
              <w:t>Stockholders’ equity:</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2"/>
        </w:trPr>
        <w:tc>
          <w:tcPr>
            <w:tcW w:w="6360" w:type="dxa"/>
            <w:vAlign w:val="bottom"/>
            <w:shd w:val="clear" w:color="auto" w:fill="CCEEFF"/>
          </w:tcPr>
          <w:p>
            <w:pPr>
              <w:ind w:left="220"/>
              <w:spacing w:after="0" w:line="201" w:lineRule="exact"/>
              <w:rPr>
                <w:sz w:val="20"/>
                <w:szCs w:val="20"/>
                <w:color w:val="auto"/>
              </w:rPr>
            </w:pPr>
            <w:r>
              <w:rPr>
                <w:rFonts w:ascii="Arial" w:cs="Arial" w:eastAsia="Arial" w:hAnsi="Arial"/>
                <w:sz w:val="18"/>
                <w:szCs w:val="18"/>
                <w:color w:val="auto"/>
              </w:rPr>
              <w:t>Preferred stock, $0.001 par value, 50,000,000 shares authorized; none</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r>
      <w:tr>
        <w:trPr>
          <w:trHeight w:val="203"/>
        </w:trPr>
        <w:tc>
          <w:tcPr>
            <w:tcW w:w="6360" w:type="dxa"/>
            <w:vAlign w:val="bottom"/>
            <w:shd w:val="clear" w:color="auto" w:fill="CCEEFF"/>
          </w:tcPr>
          <w:p>
            <w:pPr>
              <w:ind w:left="220"/>
              <w:spacing w:after="0" w:line="203" w:lineRule="exact"/>
              <w:rPr>
                <w:sz w:val="20"/>
                <w:szCs w:val="20"/>
                <w:color w:val="auto"/>
              </w:rPr>
            </w:pPr>
            <w:r>
              <w:rPr>
                <w:rFonts w:ascii="Arial" w:cs="Arial" w:eastAsia="Arial" w:hAnsi="Arial"/>
                <w:sz w:val="18"/>
                <w:szCs w:val="18"/>
                <w:color w:val="auto"/>
              </w:rPr>
              <w:t>issued and outstanding as of June 30, 2019 and December 31, 2018</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r>
      <w:tr>
        <w:trPr>
          <w:trHeight w:val="202"/>
        </w:trPr>
        <w:tc>
          <w:tcPr>
            <w:tcW w:w="6360" w:type="dxa"/>
            <w:vAlign w:val="bottom"/>
          </w:tcPr>
          <w:p>
            <w:pPr>
              <w:ind w:left="220"/>
              <w:spacing w:after="0" w:line="201" w:lineRule="exact"/>
              <w:rPr>
                <w:sz w:val="20"/>
                <w:szCs w:val="20"/>
                <w:color w:val="auto"/>
              </w:rPr>
            </w:pPr>
            <w:r>
              <w:rPr>
                <w:rFonts w:ascii="Arial" w:cs="Arial" w:eastAsia="Arial" w:hAnsi="Arial"/>
                <w:sz w:val="18"/>
                <w:szCs w:val="18"/>
                <w:color w:val="auto"/>
              </w:rPr>
              <w:t>Common stock, $0.001 par value, 300,000,000 shares authorized;</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18,956,912 shares issued and outstanding as of June 30, 2019; 18,631,125</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6360" w:type="dxa"/>
            <w:vAlign w:val="bottom"/>
          </w:tcPr>
          <w:p>
            <w:pPr>
              <w:ind w:left="220"/>
              <w:spacing w:after="0" w:line="203" w:lineRule="exact"/>
              <w:rPr>
                <w:sz w:val="20"/>
                <w:szCs w:val="20"/>
                <w:color w:val="auto"/>
              </w:rPr>
            </w:pPr>
            <w:r>
              <w:rPr>
                <w:rFonts w:ascii="Arial" w:cs="Arial" w:eastAsia="Arial" w:hAnsi="Arial"/>
                <w:sz w:val="18"/>
                <w:szCs w:val="18"/>
                <w:color w:val="auto"/>
              </w:rPr>
              <w:t>shares issued and outstanding as of December 31, 2018</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3" w:lineRule="exact"/>
              <w:rPr>
                <w:sz w:val="20"/>
                <w:szCs w:val="20"/>
                <w:color w:val="auto"/>
              </w:rPr>
            </w:pPr>
            <w:r>
              <w:rPr>
                <w:rFonts w:ascii="Arial" w:cs="Arial" w:eastAsia="Arial" w:hAnsi="Arial"/>
                <w:sz w:val="18"/>
                <w:szCs w:val="18"/>
                <w:color w:val="auto"/>
              </w:rPr>
              <w:t>19</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3" w:lineRule="exact"/>
              <w:rPr>
                <w:sz w:val="20"/>
                <w:szCs w:val="20"/>
                <w:color w:val="auto"/>
              </w:rPr>
            </w:pPr>
            <w:r>
              <w:rPr>
                <w:rFonts w:ascii="Arial" w:cs="Arial" w:eastAsia="Arial" w:hAnsi="Arial"/>
                <w:sz w:val="18"/>
                <w:szCs w:val="18"/>
                <w:color w:val="auto"/>
              </w:rPr>
              <w:t>19</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Additional paid-in capital</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84,987</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79,554</w:t>
            </w:r>
          </w:p>
        </w:tc>
      </w:tr>
      <w:tr>
        <w:trPr>
          <w:trHeight w:val="203"/>
        </w:trPr>
        <w:tc>
          <w:tcPr>
            <w:tcW w:w="6360" w:type="dxa"/>
            <w:vAlign w:val="bottom"/>
          </w:tcPr>
          <w:p>
            <w:pPr>
              <w:ind w:left="220"/>
              <w:spacing w:after="0" w:line="202" w:lineRule="exact"/>
              <w:rPr>
                <w:sz w:val="20"/>
                <w:szCs w:val="20"/>
                <w:color w:val="auto"/>
              </w:rPr>
            </w:pPr>
            <w:r>
              <w:rPr>
                <w:rFonts w:ascii="Arial" w:cs="Arial" w:eastAsia="Arial" w:hAnsi="Arial"/>
                <w:sz w:val="18"/>
                <w:szCs w:val="18"/>
                <w:color w:val="auto"/>
              </w:rPr>
              <w:t>Retained earnings</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13,962</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9,705</w:t>
            </w:r>
          </w:p>
        </w:tc>
      </w:tr>
      <w:tr>
        <w:trPr>
          <w:trHeight w:val="203"/>
        </w:trPr>
        <w:tc>
          <w:tcPr>
            <w:tcW w:w="636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Accumulated other comprehensive income (loss)</w:t>
            </w:r>
          </w:p>
        </w:tc>
        <w:tc>
          <w:tcPr>
            <w:tcW w:w="2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40</w:t>
            </w:r>
          </w:p>
        </w:tc>
        <w:tc>
          <w:tcPr>
            <w:tcW w:w="2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w:t>
            </w:r>
          </w:p>
        </w:tc>
      </w:tr>
      <w:tr>
        <w:trPr>
          <w:trHeight w:val="196"/>
        </w:trPr>
        <w:tc>
          <w:tcPr>
            <w:tcW w:w="6360" w:type="dxa"/>
            <w:vAlign w:val="bottom"/>
            <w:tcBorders>
              <w:bottom w:val="single" w:sz="8" w:color="CCEEFF"/>
            </w:tcBorders>
          </w:tcPr>
          <w:p>
            <w:pPr>
              <w:ind w:left="440"/>
              <w:spacing w:after="0" w:line="196" w:lineRule="exact"/>
              <w:rPr>
                <w:sz w:val="20"/>
                <w:szCs w:val="20"/>
                <w:color w:val="auto"/>
              </w:rPr>
            </w:pPr>
            <w:r>
              <w:rPr>
                <w:rFonts w:ascii="Arial" w:cs="Arial" w:eastAsia="Arial" w:hAnsi="Arial"/>
                <w:sz w:val="18"/>
                <w:szCs w:val="18"/>
                <w:b w:val="1"/>
                <w:bCs w:val="1"/>
                <w:color w:val="auto"/>
              </w:rPr>
              <w:t>Total stockholders’ equity</w:t>
            </w:r>
          </w:p>
        </w:tc>
        <w:tc>
          <w:tcPr>
            <w:tcW w:w="2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99,008</w:t>
            </w:r>
          </w:p>
        </w:tc>
        <w:tc>
          <w:tcPr>
            <w:tcW w:w="2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89,270</w:t>
            </w:r>
          </w:p>
        </w:tc>
      </w:tr>
      <w:tr>
        <w:trPr>
          <w:trHeight w:val="203"/>
        </w:trPr>
        <w:tc>
          <w:tcPr>
            <w:tcW w:w="6360" w:type="dxa"/>
            <w:vAlign w:val="bottom"/>
            <w:tcBorders>
              <w:bottom w:val="single" w:sz="8" w:color="CCEEFF"/>
            </w:tcBorders>
            <w:shd w:val="clear" w:color="auto" w:fill="CCEEFF"/>
          </w:tcPr>
          <w:p>
            <w:pPr>
              <w:ind w:left="660"/>
              <w:spacing w:after="0" w:line="196" w:lineRule="exact"/>
              <w:rPr>
                <w:sz w:val="20"/>
                <w:szCs w:val="20"/>
                <w:color w:val="auto"/>
              </w:rPr>
            </w:pPr>
            <w:r>
              <w:rPr>
                <w:rFonts w:ascii="Arial" w:cs="Arial" w:eastAsia="Arial" w:hAnsi="Arial"/>
                <w:sz w:val="18"/>
                <w:szCs w:val="18"/>
                <w:b w:val="1"/>
                <w:bCs w:val="1"/>
                <w:color w:val="auto"/>
              </w:rPr>
              <w:t>Total liabilities and stockholders’ equity</w:t>
            </w:r>
          </w:p>
        </w:tc>
        <w:tc>
          <w:tcPr>
            <w:tcW w:w="2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121,836</w:t>
            </w:r>
          </w:p>
        </w:tc>
        <w:tc>
          <w:tcPr>
            <w:tcW w:w="2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107,071</w:t>
            </w:r>
          </w:p>
        </w:tc>
      </w:tr>
      <w:tr>
        <w:trPr>
          <w:trHeight w:val="574"/>
        </w:trPr>
        <w:tc>
          <w:tcPr>
            <w:tcW w:w="63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44" w:right="141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40" w:type="dxa"/>
            <w:vAlign w:val="bottom"/>
            <w:gridSpan w:val="5"/>
          </w:tcPr>
          <w:p>
            <w:pPr>
              <w:jc w:val="right"/>
              <w:ind w:right="460"/>
              <w:spacing w:after="0"/>
              <w:rPr>
                <w:sz w:val="20"/>
                <w:szCs w:val="20"/>
                <w:color w:val="auto"/>
              </w:rPr>
            </w:pPr>
            <w:r>
              <w:rPr>
                <w:rFonts w:ascii="Arial" w:cs="Arial" w:eastAsia="Arial" w:hAnsi="Arial"/>
                <w:sz w:val="18"/>
                <w:szCs w:val="18"/>
                <w:b w:val="1"/>
                <w:bCs w:val="1"/>
                <w:color w:val="auto"/>
              </w:rPr>
              <w:t>Three Months Ended</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32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rPr>
              <w:t>Six Months Ended</w:t>
            </w:r>
          </w:p>
        </w:tc>
      </w:tr>
      <w:tr>
        <w:trPr>
          <w:trHeight w:val="225"/>
        </w:trPr>
        <w:tc>
          <w:tcPr>
            <w:tcW w:w="3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40" w:type="dxa"/>
            <w:vAlign w:val="bottom"/>
            <w:gridSpan w:val="5"/>
          </w:tcPr>
          <w:p>
            <w:pPr>
              <w:jc w:val="right"/>
              <w:ind w:right="980"/>
              <w:spacing w:after="0"/>
              <w:rPr>
                <w:sz w:val="20"/>
                <w:szCs w:val="20"/>
                <w:color w:val="auto"/>
              </w:rPr>
            </w:pPr>
            <w:r>
              <w:rPr>
                <w:rFonts w:ascii="Arial" w:cs="Arial" w:eastAsia="Arial" w:hAnsi="Arial"/>
                <w:sz w:val="18"/>
                <w:szCs w:val="18"/>
                <w:b w:val="1"/>
                <w:bCs w:val="1"/>
                <w:color w:val="auto"/>
              </w:rPr>
              <w:t>June 30,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320" w:type="dxa"/>
            <w:vAlign w:val="bottom"/>
            <w:gridSpan w:val="4"/>
          </w:tcPr>
          <w:p>
            <w:pPr>
              <w:jc w:val="right"/>
              <w:ind w:right="770"/>
              <w:spacing w:after="0"/>
              <w:rPr>
                <w:sz w:val="20"/>
                <w:szCs w:val="20"/>
                <w:color w:val="auto"/>
              </w:rPr>
            </w:pPr>
            <w:r>
              <w:rPr>
                <w:rFonts w:ascii="Arial" w:cs="Arial" w:eastAsia="Arial" w:hAnsi="Arial"/>
                <w:sz w:val="18"/>
                <w:szCs w:val="18"/>
                <w:b w:val="1"/>
                <w:bCs w:val="1"/>
                <w:color w:val="auto"/>
              </w:rPr>
              <w:t>June 30,</w:t>
            </w:r>
          </w:p>
        </w:tc>
      </w:tr>
      <w:tr>
        <w:trPr>
          <w:trHeight w:val="196"/>
        </w:trPr>
        <w:tc>
          <w:tcPr>
            <w:tcW w:w="37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share and per share data)</w:t>
            </w:r>
          </w:p>
        </w:tc>
        <w:tc>
          <w:tcPr>
            <w:tcW w:w="200" w:type="dxa"/>
            <w:vAlign w:val="bottom"/>
            <w:tcBorders>
              <w:bottom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4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4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7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700" w:type="dxa"/>
            <w:vAlign w:val="bottom"/>
          </w:tcPr>
          <w:p>
            <w:pPr>
              <w:ind w:left="220"/>
              <w:spacing w:after="0" w:line="202" w:lineRule="exact"/>
              <w:rPr>
                <w:sz w:val="20"/>
                <w:szCs w:val="20"/>
                <w:color w:val="auto"/>
              </w:rPr>
            </w:pPr>
            <w:r>
              <w:rPr>
                <w:rFonts w:ascii="Arial" w:cs="Arial" w:eastAsia="Arial" w:hAnsi="Arial"/>
                <w:sz w:val="18"/>
                <w:szCs w:val="18"/>
                <w:color w:val="auto"/>
              </w:rPr>
              <w:t>Sales revenue</w:t>
            </w:r>
          </w:p>
        </w:tc>
        <w:tc>
          <w:tcPr>
            <w:tcW w:w="3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38,790</w:t>
            </w:r>
          </w:p>
        </w:tc>
        <w:tc>
          <w:tcPr>
            <w:tcW w:w="24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30,572</w:t>
            </w:r>
          </w:p>
        </w:tc>
        <w:tc>
          <w:tcPr>
            <w:tcW w:w="120" w:type="dxa"/>
            <w:vAlign w:val="bottom"/>
          </w:tcPr>
          <w:p>
            <w:pPr>
              <w:spacing w:after="0"/>
              <w:rPr>
                <w:sz w:val="17"/>
                <w:szCs w:val="17"/>
                <w:color w:val="auto"/>
              </w:rPr>
            </w:pPr>
          </w:p>
        </w:tc>
        <w:tc>
          <w:tcPr>
            <w:tcW w:w="2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69,621</w:t>
            </w:r>
          </w:p>
        </w:tc>
        <w:tc>
          <w:tcPr>
            <w:tcW w:w="24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54,219</w:t>
            </w: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6,410</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3,561</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13,196</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6,762</w:t>
            </w:r>
          </w:p>
        </w:tc>
      </w:tr>
      <w:tr>
        <w:trPr>
          <w:trHeight w:val="196"/>
        </w:trPr>
        <w:tc>
          <w:tcPr>
            <w:tcW w:w="3700" w:type="dxa"/>
            <w:vAlign w:val="bottom"/>
          </w:tcPr>
          <w:p>
            <w:pPr>
              <w:spacing w:after="0" w:line="196" w:lineRule="exact"/>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45,200</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34,133</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82,817</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60,981</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700" w:type="dxa"/>
            <w:vAlign w:val="bottom"/>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11,586</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8,557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20,998</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14,966</w:t>
            </w: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2,109</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1,053</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4,056</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1,953</w:t>
            </w:r>
          </w:p>
        </w:tc>
      </w:tr>
      <w:tr>
        <w:trPr>
          <w:trHeight w:val="196"/>
        </w:trPr>
        <w:tc>
          <w:tcPr>
            <w:tcW w:w="3700" w:type="dxa"/>
            <w:vAlign w:val="bottom"/>
          </w:tcPr>
          <w:p>
            <w:pPr>
              <w:spacing w:after="0" w:line="196" w:lineRule="exact"/>
              <w:rPr>
                <w:sz w:val="20"/>
                <w:szCs w:val="20"/>
                <w:color w:val="auto"/>
              </w:rPr>
            </w:pPr>
            <w:r>
              <w:rPr>
                <w:rFonts w:ascii="Arial" w:cs="Arial" w:eastAsia="Arial" w:hAnsi="Arial"/>
                <w:sz w:val="18"/>
                <w:szCs w:val="18"/>
                <w:color w:val="auto"/>
              </w:rPr>
              <w:t>Total cost of revenue</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13,695</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9,610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25,054</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16,919</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700" w:type="dxa"/>
            <w:vAlign w:val="bottom"/>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27,204</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22,015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48,623</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39,253</w:t>
            </w: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4,301</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2,508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9,140</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4,809</w:t>
            </w:r>
          </w:p>
        </w:tc>
      </w:tr>
      <w:tr>
        <w:trPr>
          <w:trHeight w:val="196"/>
        </w:trPr>
        <w:tc>
          <w:tcPr>
            <w:tcW w:w="3700" w:type="dxa"/>
            <w:vAlign w:val="bottom"/>
          </w:tcPr>
          <w:p>
            <w:pPr>
              <w:spacing w:after="0" w:line="196" w:lineRule="exact"/>
              <w:rPr>
                <w:sz w:val="20"/>
                <w:szCs w:val="20"/>
                <w:color w:val="auto"/>
              </w:rPr>
            </w:pPr>
            <w:r>
              <w:rPr>
                <w:rFonts w:ascii="Arial" w:cs="Arial" w:eastAsia="Arial" w:hAnsi="Arial"/>
                <w:sz w:val="18"/>
                <w:szCs w:val="18"/>
                <w:color w:val="auto"/>
              </w:rPr>
              <w:t>Gross profit</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31,505</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24,523</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57,763</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44,062</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700" w:type="dxa"/>
            <w:vAlign w:val="bottom"/>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18,418</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14,452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35,809</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27,009</w:t>
            </w: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1,234</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1,289</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2,515</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2,726</w:t>
            </w:r>
          </w:p>
        </w:tc>
      </w:tr>
      <w:tr>
        <w:trPr>
          <w:trHeight w:val="203"/>
        </w:trPr>
        <w:tc>
          <w:tcPr>
            <w:tcW w:w="3700" w:type="dxa"/>
            <w:vAlign w:val="bottom"/>
            <w:tcBorders>
              <w:bottom w:val="single" w:sz="8" w:color="CCEEFF"/>
            </w:tcBorders>
          </w:tcPr>
          <w:p>
            <w:pPr>
              <w:ind w:left="220"/>
              <w:spacing w:after="0" w:line="202" w:lineRule="exact"/>
              <w:rPr>
                <w:sz w:val="20"/>
                <w:szCs w:val="20"/>
                <w:color w:val="auto"/>
              </w:rPr>
            </w:pPr>
            <w:r>
              <w:rPr>
                <w:rFonts w:ascii="Arial" w:cs="Arial" w:eastAsia="Arial" w:hAnsi="Arial"/>
                <w:sz w:val="18"/>
                <w:szCs w:val="18"/>
                <w:color w:val="auto"/>
                <w:w w:val="99"/>
              </w:rPr>
              <w:t>Reimbursement, general and administrative</w:t>
            </w:r>
          </w:p>
        </w:tc>
        <w:tc>
          <w:tcPr>
            <w:tcW w:w="2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8,805</w:t>
            </w:r>
          </w:p>
        </w:tc>
        <w:tc>
          <w:tcPr>
            <w:tcW w:w="2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7,471</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18,193</w:t>
            </w:r>
          </w:p>
        </w:tc>
        <w:tc>
          <w:tcPr>
            <w:tcW w:w="2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14,843</w:t>
            </w:r>
          </w:p>
        </w:tc>
      </w:tr>
      <w:tr>
        <w:trPr>
          <w:trHeight w:val="196"/>
        </w:trPr>
        <w:tc>
          <w:tcPr>
            <w:tcW w:w="37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28,457</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23,212</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56,517</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44,578</w:t>
            </w:r>
          </w:p>
        </w:tc>
      </w:tr>
      <w:tr>
        <w:trPr>
          <w:trHeight w:val="196"/>
        </w:trPr>
        <w:tc>
          <w:tcPr>
            <w:tcW w:w="3700" w:type="dxa"/>
            <w:vAlign w:val="bottom"/>
          </w:tcPr>
          <w:p>
            <w:pPr>
              <w:spacing w:after="0" w:line="196" w:lineRule="exact"/>
              <w:rPr>
                <w:sz w:val="20"/>
                <w:szCs w:val="20"/>
                <w:color w:val="auto"/>
              </w:rPr>
            </w:pPr>
            <w:r>
              <w:rPr>
                <w:rFonts w:ascii="Arial" w:cs="Arial" w:eastAsia="Arial" w:hAnsi="Arial"/>
                <w:sz w:val="18"/>
                <w:szCs w:val="18"/>
                <w:b w:val="1"/>
                <w:bCs w:val="1"/>
                <w:color w:val="auto"/>
              </w:rPr>
              <w:t>Income (loss) from operations</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3,048</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1,311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1,246</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(516)</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159</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132</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320</w:t>
            </w:r>
          </w:p>
        </w:tc>
        <w:tc>
          <w:tcPr>
            <w:tcW w:w="2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223</w:t>
            </w:r>
          </w:p>
        </w:tc>
      </w:tr>
      <w:tr>
        <w:trPr>
          <w:trHeight w:val="196"/>
        </w:trPr>
        <w:tc>
          <w:tcPr>
            <w:tcW w:w="3700" w:type="dxa"/>
            <w:vAlign w:val="bottom"/>
          </w:tcPr>
          <w:p>
            <w:pPr>
              <w:spacing w:after="0" w:line="196" w:lineRule="exact"/>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3,207</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1,443</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1,566</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(293)</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Income tax expense (benefit)</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422</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(1,129)</w:t>
            </w: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(2,691)</w:t>
            </w: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(2,815)</w:t>
            </w:r>
          </w:p>
        </w:tc>
      </w:tr>
      <w:tr>
        <w:trPr>
          <w:trHeight w:val="203"/>
        </w:trPr>
        <w:tc>
          <w:tcPr>
            <w:tcW w:w="3700" w:type="dxa"/>
            <w:vAlign w:val="bottom"/>
            <w:tcBorders>
              <w:bottom w:val="single" w:sz="8" w:color="CCEEFF"/>
            </w:tcBorders>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200" w:type="dxa"/>
            <w:vAlign w:val="bottom"/>
            <w:tcBorders>
              <w:bottom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2,785</w:t>
            </w:r>
          </w:p>
        </w:tc>
        <w:tc>
          <w:tcPr>
            <w:tcW w:w="240" w:type="dxa"/>
            <w:vAlign w:val="bottom"/>
            <w:tcBorders>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2,572</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4,257</w:t>
            </w:r>
          </w:p>
        </w:tc>
        <w:tc>
          <w:tcPr>
            <w:tcW w:w="240" w:type="dxa"/>
            <w:vAlign w:val="bottom"/>
            <w:tcBorders>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2,522</w:t>
            </w:r>
          </w:p>
        </w:tc>
      </w:tr>
      <w:tr>
        <w:trPr>
          <w:trHeight w:val="203"/>
        </w:trPr>
        <w:tc>
          <w:tcPr>
            <w:tcW w:w="37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Net income per common share</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700" w:type="dxa"/>
            <w:vAlign w:val="bottom"/>
          </w:tcPr>
          <w:p>
            <w:pPr>
              <w:ind w:left="220"/>
              <w:spacing w:after="0" w:line="202" w:lineRule="exact"/>
              <w:rPr>
                <w:sz w:val="20"/>
                <w:szCs w:val="20"/>
                <w:color w:val="auto"/>
              </w:rPr>
            </w:pPr>
            <w:r>
              <w:rPr>
                <w:rFonts w:ascii="Arial" w:cs="Arial" w:eastAsia="Arial" w:hAnsi="Arial"/>
                <w:sz w:val="18"/>
                <w:szCs w:val="18"/>
                <w:color w:val="auto"/>
              </w:rPr>
              <w:t>Basic</w:t>
            </w:r>
          </w:p>
        </w:tc>
        <w:tc>
          <w:tcPr>
            <w:tcW w:w="3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0.15</w:t>
            </w:r>
          </w:p>
        </w:tc>
        <w:tc>
          <w:tcPr>
            <w:tcW w:w="24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0.14</w:t>
            </w:r>
          </w:p>
        </w:tc>
        <w:tc>
          <w:tcPr>
            <w:tcW w:w="120" w:type="dxa"/>
            <w:vAlign w:val="bottom"/>
          </w:tcPr>
          <w:p>
            <w:pPr>
              <w:spacing w:after="0"/>
              <w:rPr>
                <w:sz w:val="17"/>
                <w:szCs w:val="17"/>
                <w:color w:val="auto"/>
              </w:rPr>
            </w:pPr>
          </w:p>
        </w:tc>
        <w:tc>
          <w:tcPr>
            <w:tcW w:w="2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0.23</w:t>
            </w:r>
          </w:p>
        </w:tc>
        <w:tc>
          <w:tcPr>
            <w:tcW w:w="24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0.14</w:t>
            </w: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Diluted</w:t>
            </w:r>
          </w:p>
        </w:tc>
        <w:tc>
          <w:tcPr>
            <w:tcW w:w="3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0.14</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0.13</w:t>
            </w:r>
          </w:p>
        </w:tc>
        <w:tc>
          <w:tcPr>
            <w:tcW w:w="120" w:type="dxa"/>
            <w:vAlign w:val="bottom"/>
            <w:shd w:val="clear" w:color="auto" w:fill="CCEEFF"/>
          </w:tcPr>
          <w:p>
            <w:pPr>
              <w:spacing w:after="0"/>
              <w:rPr>
                <w:sz w:val="17"/>
                <w:szCs w:val="17"/>
                <w:color w:val="auto"/>
              </w:rPr>
            </w:pPr>
          </w:p>
        </w:tc>
        <w:tc>
          <w:tcPr>
            <w:tcW w:w="2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0.22</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0.13</w:t>
            </w:r>
          </w:p>
        </w:tc>
      </w:tr>
      <w:tr>
        <w:trPr>
          <w:trHeight w:val="202"/>
        </w:trPr>
        <w:tc>
          <w:tcPr>
            <w:tcW w:w="3700" w:type="dxa"/>
            <w:vAlign w:val="bottom"/>
          </w:tcPr>
          <w:p>
            <w:pPr>
              <w:spacing w:after="0" w:line="201" w:lineRule="exact"/>
              <w:rPr>
                <w:sz w:val="20"/>
                <w:szCs w:val="20"/>
                <w:color w:val="auto"/>
              </w:rPr>
            </w:pPr>
            <w:r>
              <w:rPr>
                <w:rFonts w:ascii="Arial" w:cs="Arial" w:eastAsia="Arial" w:hAnsi="Arial"/>
                <w:sz w:val="18"/>
                <w:szCs w:val="18"/>
                <w:color w:val="auto"/>
              </w:rPr>
              <w:t>Weighted-average common shares used to</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700" w:type="dxa"/>
            <w:vAlign w:val="bottom"/>
          </w:tcPr>
          <w:p>
            <w:pPr>
              <w:spacing w:after="0" w:line="203" w:lineRule="exact"/>
              <w:rPr>
                <w:sz w:val="20"/>
                <w:szCs w:val="20"/>
                <w:color w:val="auto"/>
              </w:rPr>
            </w:pPr>
            <w:r>
              <w:rPr>
                <w:rFonts w:ascii="Arial" w:cs="Arial" w:eastAsia="Arial" w:hAnsi="Arial"/>
                <w:sz w:val="18"/>
                <w:szCs w:val="18"/>
                <w:color w:val="auto"/>
              </w:rPr>
              <w:t>compute net income per common share</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7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Basic</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9"/>
              </w:rPr>
              <w:t>18,881,526</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18,155,543</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9"/>
              </w:rPr>
              <w:t>18,814,511</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18,076,546</w:t>
            </w:r>
          </w:p>
        </w:tc>
      </w:tr>
      <w:tr>
        <w:trPr>
          <w:trHeight w:val="217"/>
        </w:trPr>
        <w:tc>
          <w:tcPr>
            <w:tcW w:w="3700" w:type="dxa"/>
            <w:vAlign w:val="bottom"/>
          </w:tcPr>
          <w:p>
            <w:pPr>
              <w:ind w:left="22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19,591,129</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19,313,156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19,619,213</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19,204,100</w:t>
            </w:r>
          </w:p>
        </w:tc>
      </w:tr>
      <w:tr>
        <w:trPr>
          <w:trHeight w:val="560"/>
        </w:trPr>
        <w:tc>
          <w:tcPr>
            <w:tcW w:w="37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44" w:right="141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jc w:val="center"/>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6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320" w:type="dxa"/>
            <w:vAlign w:val="bottom"/>
            <w:gridSpan w:val="5"/>
          </w:tcPr>
          <w:p>
            <w:pPr>
              <w:ind w:left="240"/>
              <w:spacing w:after="0" w:line="181" w:lineRule="exact"/>
              <w:rPr>
                <w:sz w:val="20"/>
                <w:szCs w:val="20"/>
                <w:color w:val="auto"/>
              </w:rPr>
            </w:pPr>
            <w:r>
              <w:rPr>
                <w:rFonts w:ascii="Arial" w:cs="Arial" w:eastAsia="Arial" w:hAnsi="Arial"/>
                <w:sz w:val="18"/>
                <w:szCs w:val="18"/>
                <w:b w:val="1"/>
                <w:bCs w:val="1"/>
                <w:color w:val="auto"/>
              </w:rPr>
              <w:t>Six Months Ended</w:t>
            </w:r>
          </w:p>
        </w:tc>
      </w:tr>
      <w:tr>
        <w:trPr>
          <w:trHeight w:val="225"/>
        </w:trPr>
        <w:tc>
          <w:tcPr>
            <w:tcW w:w="6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4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196"/>
        </w:trPr>
        <w:tc>
          <w:tcPr>
            <w:tcW w:w="6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40" w:type="dxa"/>
            <w:vAlign w:val="bottom"/>
          </w:tcPr>
          <w:p>
            <w:pPr>
              <w:spacing w:after="0"/>
              <w:rPr>
                <w:sz w:val="17"/>
                <w:szCs w:val="17"/>
                <w:color w:val="auto"/>
              </w:rPr>
            </w:pPr>
          </w:p>
        </w:tc>
        <w:tc>
          <w:tcPr>
            <w:tcW w:w="92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 w:type="dxa"/>
            <w:vAlign w:val="bottom"/>
          </w:tcPr>
          <w:p>
            <w:pPr>
              <w:spacing w:after="0"/>
              <w:rPr>
                <w:sz w:val="17"/>
                <w:szCs w:val="17"/>
                <w:color w:val="auto"/>
              </w:rPr>
            </w:pPr>
          </w:p>
        </w:tc>
      </w:tr>
      <w:tr>
        <w:trPr>
          <w:trHeight w:val="196"/>
        </w:trPr>
        <w:tc>
          <w:tcPr>
            <w:tcW w:w="62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2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Net income</w:t>
            </w:r>
          </w:p>
        </w:tc>
        <w:tc>
          <w:tcPr>
            <w:tcW w:w="240" w:type="dxa"/>
            <w:vAlign w:val="bottom"/>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4,257</w:t>
            </w:r>
          </w:p>
        </w:tc>
        <w:tc>
          <w:tcPr>
            <w:tcW w:w="220" w:type="dxa"/>
            <w:vAlign w:val="bottom"/>
          </w:tcPr>
          <w:p>
            <w:pPr>
              <w:spacing w:after="0"/>
              <w:rPr>
                <w:sz w:val="17"/>
                <w:szCs w:val="17"/>
                <w:color w:val="auto"/>
              </w:rPr>
            </w:pPr>
          </w:p>
        </w:tc>
        <w:tc>
          <w:tcPr>
            <w:tcW w:w="320" w:type="dxa"/>
            <w:vAlign w:val="bottom"/>
          </w:tcPr>
          <w:p>
            <w:pPr>
              <w:jc w:val="right"/>
              <w:ind w:right="130"/>
              <w:spacing w:after="0" w:line="202" w:lineRule="exact"/>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2,522</w:t>
            </w:r>
          </w:p>
        </w:tc>
        <w:tc>
          <w:tcPr>
            <w:tcW w:w="20" w:type="dxa"/>
            <w:vAlign w:val="bottom"/>
          </w:tcPr>
          <w:p>
            <w:pPr>
              <w:spacing w:after="0"/>
              <w:rPr>
                <w:sz w:val="17"/>
                <w:szCs w:val="17"/>
                <w:color w:val="auto"/>
              </w:rPr>
            </w:pPr>
          </w:p>
        </w:tc>
      </w:tr>
      <w:tr>
        <w:trPr>
          <w:trHeight w:val="202"/>
        </w:trPr>
        <w:tc>
          <w:tcPr>
            <w:tcW w:w="6520" w:type="dxa"/>
            <w:vAlign w:val="bottom"/>
            <w:gridSpan w:val="2"/>
            <w:shd w:val="clear" w:color="auto" w:fill="CCEEFF"/>
          </w:tcPr>
          <w:p>
            <w:pPr>
              <w:ind w:left="220"/>
              <w:spacing w:after="0" w:line="201" w:lineRule="exact"/>
              <w:rPr>
                <w:sz w:val="20"/>
                <w:szCs w:val="20"/>
                <w:color w:val="auto"/>
              </w:rPr>
            </w:pPr>
            <w:r>
              <w:rPr>
                <w:rFonts w:ascii="Arial" w:cs="Arial" w:eastAsia="Arial" w:hAnsi="Arial"/>
                <w:sz w:val="18"/>
                <w:szCs w:val="18"/>
                <w:color w:val="auto"/>
              </w:rPr>
              <w:t>Adjustments to reconcile net income to net cash provided by (used in)</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3" w:lineRule="exact"/>
              <w:rPr>
                <w:sz w:val="20"/>
                <w:szCs w:val="20"/>
                <w:color w:val="auto"/>
              </w:rPr>
            </w:pPr>
            <w:r>
              <w:rPr>
                <w:rFonts w:ascii="Arial" w:cs="Arial" w:eastAsia="Arial" w:hAnsi="Arial"/>
                <w:sz w:val="18"/>
                <w:szCs w:val="18"/>
                <w:color w:val="auto"/>
              </w:rPr>
              <w:t>operating activities: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tcPr>
          <w:p>
            <w:pPr>
              <w:ind w:left="440"/>
              <w:spacing w:after="0" w:line="202" w:lineRule="exact"/>
              <w:rPr>
                <w:sz w:val="20"/>
                <w:szCs w:val="20"/>
                <w:color w:val="auto"/>
              </w:rPr>
            </w:pPr>
            <w:r>
              <w:rPr>
                <w:rFonts w:ascii="Arial" w:cs="Arial" w:eastAsia="Arial" w:hAnsi="Arial"/>
                <w:sz w:val="18"/>
                <w:szCs w:val="18"/>
                <w:color w:val="auto"/>
              </w:rPr>
              <w:t>Depreciation and amortization</w:t>
            </w:r>
          </w:p>
        </w:tc>
        <w:tc>
          <w:tcPr>
            <w:tcW w:w="24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1,833</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1,687</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440"/>
              <w:spacing w:after="0" w:line="202" w:lineRule="exact"/>
              <w:rPr>
                <w:sz w:val="20"/>
                <w:szCs w:val="20"/>
                <w:color w:val="auto"/>
              </w:rPr>
            </w:pPr>
            <w:r>
              <w:rPr>
                <w:rFonts w:ascii="Arial" w:cs="Arial" w:eastAsia="Arial" w:hAnsi="Arial"/>
                <w:sz w:val="18"/>
                <w:szCs w:val="18"/>
                <w:color w:val="auto"/>
              </w:rPr>
              <w:t>Deferred income taxes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(1,552)</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440"/>
              <w:spacing w:after="0" w:line="202" w:lineRule="exact"/>
              <w:rPr>
                <w:sz w:val="20"/>
                <w:szCs w:val="20"/>
                <w:color w:val="auto"/>
              </w:rPr>
            </w:pPr>
            <w:r>
              <w:rPr>
                <w:rFonts w:ascii="Arial" w:cs="Arial" w:eastAsia="Arial" w:hAnsi="Arial"/>
                <w:sz w:val="18"/>
                <w:szCs w:val="18"/>
                <w:color w:val="auto"/>
              </w:rPr>
              <w:t>Stock-based compensation expense</w:t>
            </w:r>
          </w:p>
        </w:tc>
        <w:tc>
          <w:tcPr>
            <w:tcW w:w="24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5,057</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3,258</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440"/>
              <w:spacing w:after="0" w:line="202" w:lineRule="exact"/>
              <w:rPr>
                <w:sz w:val="20"/>
                <w:szCs w:val="20"/>
                <w:color w:val="auto"/>
              </w:rPr>
            </w:pPr>
            <w:r>
              <w:rPr>
                <w:rFonts w:ascii="Arial" w:cs="Arial" w:eastAsia="Arial" w:hAnsi="Arial"/>
                <w:sz w:val="18"/>
                <w:szCs w:val="18"/>
                <w:color w:val="auto"/>
              </w:rPr>
              <w:t>Loss on disposal of equipment</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440"/>
              <w:spacing w:after="0" w:line="202" w:lineRule="exact"/>
              <w:rPr>
                <w:sz w:val="20"/>
                <w:szCs w:val="20"/>
                <w:color w:val="auto"/>
              </w:rPr>
            </w:pPr>
            <w:r>
              <w:rPr>
                <w:rFonts w:ascii="Arial" w:cs="Arial" w:eastAsia="Arial" w:hAnsi="Arial"/>
                <w:sz w:val="18"/>
                <w:szCs w:val="18"/>
                <w:color w:val="auto"/>
              </w:rPr>
              <w:t>Changes in assets and liabilities:</w:t>
            </w: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660"/>
              <w:spacing w:after="0" w:line="202" w:lineRule="exact"/>
              <w:rPr>
                <w:sz w:val="20"/>
                <w:szCs w:val="20"/>
                <w:color w:val="auto"/>
              </w:rPr>
            </w:pPr>
            <w:r>
              <w:rPr>
                <w:rFonts w:ascii="Arial" w:cs="Arial" w:eastAsia="Arial" w:hAnsi="Arial"/>
                <w:sz w:val="18"/>
                <w:szCs w:val="18"/>
                <w:color w:val="auto"/>
              </w:rPr>
              <w:t>Accounts receivable</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(426)</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94</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660"/>
              <w:spacing w:after="0" w:line="202" w:lineRule="exact"/>
              <w:rPr>
                <w:sz w:val="20"/>
                <w:szCs w:val="20"/>
                <w:color w:val="auto"/>
              </w:rPr>
            </w:pPr>
            <w:r>
              <w:rPr>
                <w:rFonts w:ascii="Arial" w:cs="Arial" w:eastAsia="Arial" w:hAnsi="Arial"/>
                <w:sz w:val="18"/>
                <w:szCs w:val="18"/>
                <w:color w:val="auto"/>
              </w:rPr>
              <w:t>Net investment in leases</w:t>
            </w:r>
          </w:p>
        </w:tc>
        <w:tc>
          <w:tcPr>
            <w:tcW w:w="240" w:type="dxa"/>
            <w:vAlign w:val="bottom"/>
          </w:tcPr>
          <w:p>
            <w:pPr>
              <w:spacing w:after="0"/>
              <w:rPr>
                <w:sz w:val="17"/>
                <w:szCs w:val="17"/>
                <w:color w:val="auto"/>
              </w:rPr>
            </w:pPr>
          </w:p>
        </w:tc>
        <w:tc>
          <w:tcPr>
            <w:tcW w:w="11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(5,869)</w:t>
            </w: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660"/>
              <w:spacing w:after="0" w:line="202" w:lineRule="exact"/>
              <w:rPr>
                <w:sz w:val="20"/>
                <w:szCs w:val="20"/>
                <w:color w:val="auto"/>
              </w:rPr>
            </w:pPr>
            <w:r>
              <w:rPr>
                <w:rFonts w:ascii="Arial" w:cs="Arial" w:eastAsia="Arial" w:hAnsi="Arial"/>
                <w:sz w:val="18"/>
                <w:szCs w:val="18"/>
                <w:color w:val="auto"/>
              </w:rPr>
              <w:t>Inventories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(1,976)</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(5,397)</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660"/>
              <w:spacing w:after="0" w:line="202" w:lineRule="exact"/>
              <w:rPr>
                <w:sz w:val="20"/>
                <w:szCs w:val="20"/>
                <w:color w:val="auto"/>
              </w:rPr>
            </w:pPr>
            <w:r>
              <w:rPr>
                <w:rFonts w:ascii="Arial" w:cs="Arial" w:eastAsia="Arial" w:hAnsi="Arial"/>
                <w:sz w:val="18"/>
                <w:szCs w:val="18"/>
                <w:color w:val="auto"/>
              </w:rPr>
              <w:t>Income taxes</w:t>
            </w:r>
          </w:p>
        </w:tc>
        <w:tc>
          <w:tcPr>
            <w:tcW w:w="240" w:type="dxa"/>
            <w:vAlign w:val="bottom"/>
          </w:tcPr>
          <w:p>
            <w:pPr>
              <w:spacing w:after="0"/>
              <w:rPr>
                <w:sz w:val="17"/>
                <w:szCs w:val="17"/>
                <w:color w:val="auto"/>
              </w:rPr>
            </w:pPr>
          </w:p>
        </w:tc>
        <w:tc>
          <w:tcPr>
            <w:tcW w:w="11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(1,458)</w:t>
            </w: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(3,241)</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660"/>
              <w:spacing w:after="0" w:line="202" w:lineRule="exact"/>
              <w:rPr>
                <w:sz w:val="20"/>
                <w:szCs w:val="20"/>
                <w:color w:val="auto"/>
              </w:rPr>
            </w:pPr>
            <w:r>
              <w:rPr>
                <w:rFonts w:ascii="Arial" w:cs="Arial" w:eastAsia="Arial" w:hAnsi="Arial"/>
                <w:sz w:val="18"/>
                <w:szCs w:val="18"/>
                <w:color w:val="auto"/>
              </w:rPr>
              <w:t>Prepaid expenses and other assets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w:t>
            </w: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231</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660"/>
              <w:spacing w:after="0" w:line="202" w:lineRule="exact"/>
              <w:rPr>
                <w:sz w:val="20"/>
                <w:szCs w:val="20"/>
                <w:color w:val="auto"/>
              </w:rPr>
            </w:pPr>
            <w:r>
              <w:rPr>
                <w:rFonts w:ascii="Arial" w:cs="Arial" w:eastAsia="Arial" w:hAnsi="Arial"/>
                <w:sz w:val="18"/>
                <w:szCs w:val="18"/>
                <w:color w:val="auto"/>
              </w:rPr>
              <w:t>Right of use operating lease assets</w:t>
            </w:r>
          </w:p>
        </w:tc>
        <w:tc>
          <w:tcPr>
            <w:tcW w:w="240" w:type="dxa"/>
            <w:vAlign w:val="bottom"/>
          </w:tcPr>
          <w:p>
            <w:pPr>
              <w:spacing w:after="0"/>
              <w:rPr>
                <w:sz w:val="17"/>
                <w:szCs w:val="17"/>
                <w:color w:val="auto"/>
              </w:rPr>
            </w:pPr>
          </w:p>
        </w:tc>
        <w:tc>
          <w:tcPr>
            <w:tcW w:w="11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(12)</w:t>
            </w: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660"/>
              <w:spacing w:after="0" w:line="202" w:lineRule="exact"/>
              <w:rPr>
                <w:sz w:val="20"/>
                <w:szCs w:val="20"/>
                <w:color w:val="auto"/>
              </w:rPr>
            </w:pPr>
            <w:r>
              <w:rPr>
                <w:rFonts w:ascii="Arial" w:cs="Arial" w:eastAsia="Arial" w:hAnsi="Arial"/>
                <w:sz w:val="18"/>
                <w:szCs w:val="18"/>
                <w:color w:val="auto"/>
              </w:rPr>
              <w:t>Medicare accounts receivable, non-current</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(725)</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1,070</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660"/>
              <w:spacing w:after="0" w:line="202" w:lineRule="exact"/>
              <w:rPr>
                <w:sz w:val="20"/>
                <w:szCs w:val="20"/>
                <w:color w:val="auto"/>
              </w:rPr>
            </w:pPr>
            <w:r>
              <w:rPr>
                <w:rFonts w:ascii="Arial" w:cs="Arial" w:eastAsia="Arial" w:hAnsi="Arial"/>
                <w:sz w:val="18"/>
                <w:szCs w:val="18"/>
                <w:color w:val="auto"/>
              </w:rPr>
              <w:t>Accounts payable</w:t>
            </w:r>
          </w:p>
        </w:tc>
        <w:tc>
          <w:tcPr>
            <w:tcW w:w="24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1,637</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309</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660"/>
              <w:spacing w:after="0" w:line="202" w:lineRule="exact"/>
              <w:rPr>
                <w:sz w:val="20"/>
                <w:szCs w:val="20"/>
                <w:color w:val="auto"/>
              </w:rPr>
            </w:pPr>
            <w:r>
              <w:rPr>
                <w:rFonts w:ascii="Arial" w:cs="Arial" w:eastAsia="Arial" w:hAnsi="Arial"/>
                <w:sz w:val="18"/>
                <w:szCs w:val="18"/>
                <w:color w:val="auto"/>
              </w:rPr>
              <w:t>Accrued payroll and related taxes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(415)</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(1,186)</w:t>
            </w:r>
          </w:p>
        </w:tc>
        <w:tc>
          <w:tcPr>
            <w:tcW w:w="20" w:type="dxa"/>
            <w:vAlign w:val="bottom"/>
          </w:tcPr>
          <w:p>
            <w:pPr>
              <w:spacing w:after="0"/>
              <w:rPr>
                <w:sz w:val="17"/>
                <w:szCs w:val="17"/>
                <w:color w:val="auto"/>
              </w:rPr>
            </w:pPr>
          </w:p>
        </w:tc>
      </w:tr>
      <w:tr>
        <w:trPr>
          <w:trHeight w:val="203"/>
        </w:trPr>
        <w:tc>
          <w:tcPr>
            <w:tcW w:w="6520" w:type="dxa"/>
            <w:vAlign w:val="bottom"/>
            <w:tcBorders>
              <w:bottom w:val="single" w:sz="8" w:color="CCEEFF"/>
            </w:tcBorders>
            <w:gridSpan w:val="2"/>
          </w:tcPr>
          <w:p>
            <w:pPr>
              <w:ind w:left="660"/>
              <w:spacing w:after="0" w:line="202" w:lineRule="exact"/>
              <w:rPr>
                <w:sz w:val="20"/>
                <w:szCs w:val="20"/>
                <w:color w:val="auto"/>
              </w:rPr>
            </w:pPr>
            <w:r>
              <w:rPr>
                <w:rFonts w:ascii="Arial" w:cs="Arial" w:eastAsia="Arial" w:hAnsi="Arial"/>
                <w:sz w:val="18"/>
                <w:szCs w:val="18"/>
                <w:color w:val="auto"/>
              </w:rPr>
              <w:t>Accrued expenses and other liabilities</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485</w:t>
            </w:r>
          </w:p>
        </w:tc>
        <w:tc>
          <w:tcPr>
            <w:tcW w:w="2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(749)</w:t>
            </w:r>
          </w:p>
        </w:tc>
        <w:tc>
          <w:tcPr>
            <w:tcW w:w="20" w:type="dxa"/>
            <w:vAlign w:val="bottom"/>
          </w:tcPr>
          <w:p>
            <w:pPr>
              <w:spacing w:after="0"/>
              <w:rPr>
                <w:sz w:val="17"/>
                <w:szCs w:val="17"/>
                <w:color w:val="auto"/>
              </w:rPr>
            </w:pPr>
          </w:p>
        </w:tc>
      </w:tr>
      <w:tr>
        <w:trPr>
          <w:trHeight w:val="196"/>
        </w:trPr>
        <w:tc>
          <w:tcPr>
            <w:tcW w:w="6520" w:type="dxa"/>
            <w:vAlign w:val="bottom"/>
            <w:gridSpan w:val="2"/>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(used in) operating activities</w:t>
            </w: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851</w:t>
            </w:r>
          </w:p>
        </w:tc>
        <w:tc>
          <w:tcPr>
            <w:tcW w:w="22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(1,399)</w:t>
            </w:r>
          </w:p>
        </w:tc>
        <w:tc>
          <w:tcPr>
            <w:tcW w:w="20" w:type="dxa"/>
            <w:vAlign w:val="bottom"/>
          </w:tcPr>
          <w:p>
            <w:pPr>
              <w:spacing w:after="0"/>
              <w:rPr>
                <w:sz w:val="17"/>
                <w:szCs w:val="17"/>
                <w:color w:val="auto"/>
              </w:rPr>
            </w:pPr>
          </w:p>
        </w:tc>
      </w:tr>
      <w:tr>
        <w:trPr>
          <w:trHeight w:val="196"/>
        </w:trPr>
        <w:tc>
          <w:tcPr>
            <w:tcW w:w="652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Cash flows from investing activities</w:t>
            </w: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Proceeds from sales of securities available-for-sale</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1,000</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Proceeds from maturities of securities available-for-sale</w:t>
            </w:r>
          </w:p>
        </w:tc>
        <w:tc>
          <w:tcPr>
            <w:tcW w:w="24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11,500</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8,000</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Purchases of securities available-for-sale</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(5,929)</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(11,844)</w:t>
            </w:r>
          </w:p>
        </w:tc>
        <w:tc>
          <w:tcPr>
            <w:tcW w:w="20" w:type="dxa"/>
            <w:vAlign w:val="bottom"/>
          </w:tcPr>
          <w:p>
            <w:pPr>
              <w:spacing w:after="0"/>
              <w:rPr>
                <w:sz w:val="17"/>
                <w:szCs w:val="17"/>
                <w:color w:val="auto"/>
              </w:rPr>
            </w:pPr>
          </w:p>
        </w:tc>
      </w:tr>
      <w:tr>
        <w:trPr>
          <w:trHeight w:val="203"/>
        </w:trPr>
        <w:tc>
          <w:tcPr>
            <w:tcW w:w="65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Purchases of property and equipment</w:t>
            </w:r>
          </w:p>
        </w:tc>
        <w:tc>
          <w:tcPr>
            <w:tcW w:w="240" w:type="dxa"/>
            <w:vAlign w:val="bottom"/>
          </w:tcPr>
          <w:p>
            <w:pPr>
              <w:spacing w:after="0"/>
              <w:rPr>
                <w:sz w:val="17"/>
                <w:szCs w:val="17"/>
                <w:color w:val="auto"/>
              </w:rPr>
            </w:pPr>
          </w:p>
        </w:tc>
        <w:tc>
          <w:tcPr>
            <w:tcW w:w="11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(1,760)</w:t>
            </w: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(1,700)</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Intangible assets costs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(97)</w:t>
            </w: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(901)</w:t>
            </w:r>
          </w:p>
        </w:tc>
        <w:tc>
          <w:tcPr>
            <w:tcW w:w="20" w:type="dxa"/>
            <w:vAlign w:val="bottom"/>
          </w:tcPr>
          <w:p>
            <w:pPr>
              <w:spacing w:after="0"/>
              <w:rPr>
                <w:sz w:val="17"/>
                <w:szCs w:val="17"/>
                <w:color w:val="auto"/>
              </w:rPr>
            </w:pPr>
          </w:p>
        </w:tc>
      </w:tr>
      <w:tr>
        <w:trPr>
          <w:trHeight w:val="196"/>
        </w:trPr>
        <w:tc>
          <w:tcPr>
            <w:tcW w:w="6520" w:type="dxa"/>
            <w:vAlign w:val="bottom"/>
            <w:tcBorders>
              <w:bottom w:val="single" w:sz="8" w:color="CCEEFF"/>
            </w:tcBorders>
            <w:gridSpan w:val="2"/>
          </w:tcPr>
          <w:p>
            <w:pPr>
              <w:ind w:left="860"/>
              <w:spacing w:after="0" w:line="196" w:lineRule="exact"/>
              <w:rPr>
                <w:sz w:val="20"/>
                <w:szCs w:val="20"/>
                <w:color w:val="auto"/>
              </w:rPr>
            </w:pPr>
            <w:r>
              <w:rPr>
                <w:rFonts w:ascii="Arial" w:cs="Arial" w:eastAsia="Arial" w:hAnsi="Arial"/>
                <w:sz w:val="18"/>
                <w:szCs w:val="18"/>
                <w:color w:val="auto"/>
              </w:rPr>
              <w:t>Net cash provided by (used in) investing activities</w:t>
            </w:r>
          </w:p>
        </w:tc>
        <w:tc>
          <w:tcPr>
            <w:tcW w:w="24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3,714</w:t>
            </w:r>
          </w:p>
        </w:tc>
        <w:tc>
          <w:tcPr>
            <w:tcW w:w="220" w:type="dxa"/>
            <w:vAlign w:val="bottom"/>
            <w:tcBorders>
              <w:bottom w:val="single" w:sz="8" w:color="CCEEFF"/>
            </w:tcBorders>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(5,445)</w:t>
            </w:r>
          </w:p>
        </w:tc>
        <w:tc>
          <w:tcPr>
            <w:tcW w:w="20" w:type="dxa"/>
            <w:vAlign w:val="bottom"/>
          </w:tcPr>
          <w:p>
            <w:pPr>
              <w:spacing w:after="0"/>
              <w:rPr>
                <w:sz w:val="17"/>
                <w:szCs w:val="17"/>
                <w:color w:val="auto"/>
              </w:rPr>
            </w:pPr>
          </w:p>
        </w:tc>
      </w:tr>
      <w:tr>
        <w:trPr>
          <w:trHeight w:val="196"/>
        </w:trPr>
        <w:tc>
          <w:tcPr>
            <w:tcW w:w="65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Taxes paid for net share settlement of restricted stock units</w:t>
            </w:r>
          </w:p>
        </w:tc>
        <w:tc>
          <w:tcPr>
            <w:tcW w:w="240" w:type="dxa"/>
            <w:vAlign w:val="bottom"/>
          </w:tcPr>
          <w:p>
            <w:pPr>
              <w:spacing w:after="0"/>
              <w:rPr>
                <w:sz w:val="17"/>
                <w:szCs w:val="17"/>
                <w:color w:val="auto"/>
              </w:rPr>
            </w:pPr>
          </w:p>
        </w:tc>
        <w:tc>
          <w:tcPr>
            <w:tcW w:w="11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(3,018)</w:t>
            </w:r>
          </w:p>
        </w:tc>
        <w:tc>
          <w:tcPr>
            <w:tcW w:w="3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(1,791)</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Proceeds from exercise of common stock options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1,542</w:t>
            </w: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571</w:t>
            </w:r>
          </w:p>
        </w:tc>
        <w:tc>
          <w:tcPr>
            <w:tcW w:w="20" w:type="dxa"/>
            <w:vAlign w:val="bottom"/>
          </w:tcPr>
          <w:p>
            <w:pPr>
              <w:spacing w:after="0"/>
              <w:rPr>
                <w:sz w:val="17"/>
                <w:szCs w:val="17"/>
                <w:color w:val="auto"/>
              </w:rPr>
            </w:pPr>
          </w:p>
        </w:tc>
      </w:tr>
      <w:tr>
        <w:trPr>
          <w:trHeight w:val="202"/>
        </w:trPr>
        <w:tc>
          <w:tcPr>
            <w:tcW w:w="652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Proceeds from the issuance of common stock from the employee stock</w:t>
            </w: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tcBorders>
              <w:bottom w:val="single" w:sz="8" w:color="CCEEFF"/>
            </w:tcBorders>
            <w:gridSpan w:val="2"/>
          </w:tcPr>
          <w:p>
            <w:pPr>
              <w:ind w:left="220"/>
              <w:spacing w:after="0" w:line="203" w:lineRule="exact"/>
              <w:rPr>
                <w:sz w:val="20"/>
                <w:szCs w:val="20"/>
                <w:color w:val="auto"/>
              </w:rPr>
            </w:pPr>
            <w:r>
              <w:rPr>
                <w:rFonts w:ascii="Arial" w:cs="Arial" w:eastAsia="Arial" w:hAnsi="Arial"/>
                <w:sz w:val="18"/>
                <w:szCs w:val="18"/>
                <w:color w:val="auto"/>
              </w:rPr>
              <w:t>purchase plan</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1,852</w:t>
            </w:r>
          </w:p>
        </w:tc>
        <w:tc>
          <w:tcPr>
            <w:tcW w:w="2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1,416</w:t>
            </w:r>
          </w:p>
        </w:tc>
        <w:tc>
          <w:tcPr>
            <w:tcW w:w="20" w:type="dxa"/>
            <w:vAlign w:val="bottom"/>
          </w:tcPr>
          <w:p>
            <w:pPr>
              <w:spacing w:after="0"/>
              <w:rPr>
                <w:sz w:val="17"/>
                <w:szCs w:val="17"/>
                <w:color w:val="auto"/>
              </w:rPr>
            </w:pPr>
          </w:p>
        </w:tc>
      </w:tr>
      <w:tr>
        <w:trPr>
          <w:trHeight w:val="196"/>
        </w:trPr>
        <w:tc>
          <w:tcPr>
            <w:tcW w:w="6520" w:type="dxa"/>
            <w:vAlign w:val="bottom"/>
            <w:gridSpan w:val="2"/>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financing activities</w:t>
            </w: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376</w:t>
            </w:r>
          </w:p>
        </w:tc>
        <w:tc>
          <w:tcPr>
            <w:tcW w:w="22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196</w:t>
            </w:r>
          </w:p>
        </w:tc>
        <w:tc>
          <w:tcPr>
            <w:tcW w:w="20" w:type="dxa"/>
            <w:vAlign w:val="bottom"/>
          </w:tcPr>
          <w:p>
            <w:pPr>
              <w:spacing w:after="0"/>
              <w:rPr>
                <w:sz w:val="17"/>
                <w:szCs w:val="17"/>
                <w:color w:val="auto"/>
              </w:rPr>
            </w:pPr>
          </w:p>
        </w:tc>
      </w:tr>
      <w:tr>
        <w:trPr>
          <w:trHeight w:val="196"/>
        </w:trPr>
        <w:tc>
          <w:tcPr>
            <w:tcW w:w="652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Net increase (decrease) in cash and cash equivalents</w:t>
            </w:r>
          </w:p>
        </w:tc>
        <w:tc>
          <w:tcPr>
            <w:tcW w:w="240" w:type="dxa"/>
            <w:vAlign w:val="bottom"/>
          </w:tcPr>
          <w:p>
            <w:pPr>
              <w:spacing w:after="0"/>
              <w:rPr>
                <w:sz w:val="17"/>
                <w:szCs w:val="17"/>
                <w:color w:val="auto"/>
              </w:rPr>
            </w:pPr>
          </w:p>
        </w:tc>
        <w:tc>
          <w:tcPr>
            <w:tcW w:w="920" w:type="dxa"/>
            <w:vAlign w:val="bottom"/>
          </w:tcPr>
          <w:p>
            <w:pPr>
              <w:jc w:val="right"/>
              <w:spacing w:after="0" w:line="196" w:lineRule="exact"/>
              <w:rPr>
                <w:sz w:val="20"/>
                <w:szCs w:val="20"/>
                <w:color w:val="auto"/>
              </w:rPr>
            </w:pPr>
            <w:r>
              <w:rPr>
                <w:rFonts w:ascii="Arial" w:cs="Arial" w:eastAsia="Arial" w:hAnsi="Arial"/>
                <w:sz w:val="18"/>
                <w:szCs w:val="18"/>
                <w:color w:val="auto"/>
              </w:rPr>
              <w:t>4,941</w:t>
            </w: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Arial" w:cs="Arial" w:eastAsia="Arial" w:hAnsi="Arial"/>
                <w:sz w:val="18"/>
                <w:szCs w:val="18"/>
                <w:color w:val="auto"/>
              </w:rPr>
              <w:t>(6,648)</w:t>
            </w: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Cash and cash equivalents – beginning of period</w:t>
            </w: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c>
          <w:tcPr>
            <w:tcW w:w="22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23,968</w:t>
            </w:r>
          </w:p>
        </w:tc>
        <w:tc>
          <w:tcPr>
            <w:tcW w:w="20" w:type="dxa"/>
            <w:vAlign w:val="bottom"/>
          </w:tcPr>
          <w:p>
            <w:pPr>
              <w:spacing w:after="0"/>
              <w:rPr>
                <w:sz w:val="17"/>
                <w:szCs w:val="17"/>
                <w:color w:val="auto"/>
              </w:rPr>
            </w:pPr>
          </w:p>
        </w:tc>
      </w:tr>
      <w:tr>
        <w:trPr>
          <w:trHeight w:val="203"/>
        </w:trPr>
        <w:tc>
          <w:tcPr>
            <w:tcW w:w="652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8"/>
                <w:szCs w:val="18"/>
                <w:color w:val="auto"/>
              </w:rPr>
              <w:t>Cash and cash equivalents – end of period</w:t>
            </w: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25,040</w:t>
            </w:r>
          </w:p>
        </w:tc>
        <w:tc>
          <w:tcPr>
            <w:tcW w:w="2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17,320</w:t>
            </w:r>
          </w:p>
        </w:tc>
        <w:tc>
          <w:tcPr>
            <w:tcW w:w="20" w:type="dxa"/>
            <w:vAlign w:val="bottom"/>
          </w:tcPr>
          <w:p>
            <w:pPr>
              <w:spacing w:after="0"/>
              <w:rPr>
                <w:sz w:val="17"/>
                <w:szCs w:val="17"/>
                <w:color w:val="auto"/>
              </w:rPr>
            </w:pPr>
          </w:p>
        </w:tc>
      </w:tr>
      <w:tr>
        <w:trPr>
          <w:trHeight w:val="203"/>
        </w:trPr>
        <w:tc>
          <w:tcPr>
            <w:tcW w:w="6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tcPr>
          <w:p>
            <w:pPr>
              <w:spacing w:after="0" w:line="202" w:lineRule="exact"/>
              <w:rPr>
                <w:sz w:val="20"/>
                <w:szCs w:val="20"/>
                <w:color w:val="auto"/>
              </w:rPr>
            </w:pPr>
            <w:r>
              <w:rPr>
                <w:rFonts w:ascii="Arial" w:cs="Arial" w:eastAsia="Arial" w:hAnsi="Arial"/>
                <w:sz w:val="18"/>
                <w:szCs w:val="18"/>
                <w:b w:val="1"/>
                <w:bCs w:val="1"/>
                <w:color w:val="auto"/>
              </w:rPr>
              <w:t>Supplemental cash flow disclosure</w:t>
            </w: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65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Cash paid for taxes</w:t>
            </w:r>
          </w:p>
        </w:tc>
        <w:tc>
          <w:tcPr>
            <w:tcW w:w="240" w:type="dxa"/>
            <w:vAlign w:val="bottom"/>
            <w:shd w:val="clear" w:color="auto" w:fill="CCEEFF"/>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322</w:t>
            </w: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30"/>
              <w:spacing w:after="0" w:line="202" w:lineRule="exact"/>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436</w:t>
            </w:r>
          </w:p>
        </w:tc>
        <w:tc>
          <w:tcPr>
            <w:tcW w:w="20" w:type="dxa"/>
            <w:vAlign w:val="bottom"/>
          </w:tcPr>
          <w:p>
            <w:pPr>
              <w:spacing w:after="0"/>
              <w:rPr>
                <w:sz w:val="17"/>
                <w:szCs w:val="17"/>
                <w:color w:val="auto"/>
              </w:rPr>
            </w:pPr>
          </w:p>
        </w:tc>
      </w:tr>
      <w:tr>
        <w:trPr>
          <w:trHeight w:val="230"/>
        </w:trPr>
        <w:tc>
          <w:tcPr>
            <w:tcW w:w="6520" w:type="dxa"/>
            <w:vAlign w:val="bottom"/>
            <w:gridSpan w:val="2"/>
          </w:tcPr>
          <w:p>
            <w:pPr>
              <w:ind w:left="220"/>
              <w:spacing w:after="0"/>
              <w:rPr>
                <w:sz w:val="20"/>
                <w:szCs w:val="20"/>
                <w:color w:val="auto"/>
              </w:rPr>
            </w:pPr>
            <w:r>
              <w:rPr>
                <w:rFonts w:ascii="Arial" w:cs="Arial" w:eastAsia="Arial" w:hAnsi="Arial"/>
                <w:sz w:val="18"/>
                <w:szCs w:val="18"/>
                <w:color w:val="auto"/>
              </w:rPr>
              <w:t>Capital expenditures incurred but not yet paid</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136</w:t>
            </w:r>
          </w:p>
        </w:tc>
        <w:tc>
          <w:tcPr>
            <w:tcW w:w="22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87</w:t>
            </w:r>
          </w:p>
        </w:tc>
        <w:tc>
          <w:tcPr>
            <w:tcW w:w="20" w:type="dxa"/>
            <w:vAlign w:val="bottom"/>
          </w:tcPr>
          <w:p>
            <w:pPr>
              <w:spacing w:after="0"/>
              <w:rPr>
                <w:sz w:val="19"/>
                <w:szCs w:val="19"/>
                <w:color w:val="auto"/>
              </w:rPr>
            </w:pPr>
          </w:p>
        </w:tc>
      </w:tr>
      <w:tr>
        <w:trPr>
          <w:trHeight w:val="561"/>
        </w:trPr>
        <w:tc>
          <w:tcPr>
            <w:tcW w:w="6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9060"/>
          </w:cols>
          <w:pgMar w:left="1420" w:top="144" w:right="1419" w:bottom="1440" w:gutter="0" w:footer="0" w:header="0"/>
        </w:sectPr>
      </w:pPr>
    </w:p>
    <w:bookmarkStart w:id="12" w:name="page13"/>
    <w:bookmarkEnd w:id="12"/>
    <w:p>
      <w:pPr>
        <w:jc w:val="center"/>
        <w:spacing w:after="0" w:line="252" w:lineRule="auto"/>
        <w:rPr>
          <w:sz w:val="20"/>
          <w:szCs w:val="20"/>
          <w:color w:val="auto"/>
        </w:rPr>
      </w:pPr>
      <w:r>
        <w:rPr>
          <w:rFonts w:ascii="Arial" w:cs="Arial" w:eastAsia="Arial" w:hAnsi="Arial"/>
          <w:sz w:val="16"/>
          <w:szCs w:val="16"/>
          <w:b w:val="1"/>
          <w:bCs w:val="1"/>
          <w:color w:val="auto"/>
        </w:rPr>
        <w:t xml:space="preserve">Tactile Systems Technology, Inc. Reconciliation of Net Income to Non-GAAP Adjusted EBITDA </w:t>
      </w:r>
      <w:r>
        <w:rPr>
          <w:rFonts w:ascii="Arial" w:cs="Arial" w:eastAsia="Arial" w:hAnsi="Arial"/>
          <w:sz w:val="16"/>
          <w:szCs w:val="16"/>
          <w:color w:val="auto"/>
        </w:rPr>
        <w:t>(Unaudited)</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60" w:type="dxa"/>
            <w:vAlign w:val="bottom"/>
            <w:gridSpan w:val="7"/>
          </w:tcPr>
          <w:p>
            <w:pPr>
              <w:jc w:val="right"/>
              <w:ind w:right="140"/>
              <w:spacing w:after="0"/>
              <w:rPr>
                <w:sz w:val="20"/>
                <w:szCs w:val="20"/>
                <w:color w:val="auto"/>
              </w:rPr>
            </w:pPr>
            <w:r>
              <w:rPr>
                <w:rFonts w:ascii="Arial" w:cs="Arial" w:eastAsia="Arial" w:hAnsi="Arial"/>
                <w:sz w:val="16"/>
                <w:szCs w:val="16"/>
                <w:b w:val="1"/>
                <w:bCs w:val="1"/>
                <w:color w:val="auto"/>
              </w:rPr>
              <w:t>Three Months Ended</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gridSpan w:val="6"/>
          </w:tcPr>
          <w:p>
            <w:pPr>
              <w:jc w:val="right"/>
              <w:ind w:right="179"/>
              <w:spacing w:after="0"/>
              <w:rPr>
                <w:sz w:val="20"/>
                <w:szCs w:val="20"/>
                <w:color w:val="auto"/>
              </w:rPr>
            </w:pPr>
            <w:r>
              <w:rPr>
                <w:rFonts w:ascii="Arial" w:cs="Arial" w:eastAsia="Arial" w:hAnsi="Arial"/>
                <w:sz w:val="16"/>
                <w:szCs w:val="16"/>
                <w:b w:val="1"/>
                <w:bCs w:val="1"/>
                <w:color w:val="auto"/>
              </w:rPr>
              <w:t>Increase</w:t>
            </w: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gridSpan w:val="7"/>
          </w:tcPr>
          <w:p>
            <w:pPr>
              <w:jc w:val="right"/>
              <w:ind w:right="140"/>
              <w:spacing w:after="0"/>
              <w:rPr>
                <w:sz w:val="20"/>
                <w:szCs w:val="20"/>
                <w:color w:val="auto"/>
              </w:rPr>
            </w:pPr>
            <w:r>
              <w:rPr>
                <w:rFonts w:ascii="Arial" w:cs="Arial" w:eastAsia="Arial" w:hAnsi="Arial"/>
                <w:sz w:val="16"/>
                <w:szCs w:val="16"/>
                <w:b w:val="1"/>
                <w:bCs w:val="1"/>
                <w:color w:val="auto"/>
              </w:rPr>
              <w:t>Six Months Ended</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5"/>
          </w:tcPr>
          <w:p>
            <w:pPr>
              <w:jc w:val="center"/>
              <w:ind w:left="259"/>
              <w:spacing w:after="0"/>
              <w:rPr>
                <w:sz w:val="20"/>
                <w:szCs w:val="20"/>
                <w:color w:val="auto"/>
              </w:rPr>
            </w:pPr>
            <w:r>
              <w:rPr>
                <w:rFonts w:ascii="Arial" w:cs="Arial" w:eastAsia="Arial" w:hAnsi="Arial"/>
                <w:sz w:val="16"/>
                <w:szCs w:val="16"/>
                <w:b w:val="1"/>
                <w:bCs w:val="1"/>
                <w:color w:val="auto"/>
              </w:rPr>
              <w:t>Increase</w:t>
            </w: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1560" w:type="dxa"/>
            <w:vAlign w:val="bottom"/>
            <w:gridSpan w:val="2"/>
            <w:vMerge w:val="restart"/>
          </w:tcPr>
          <w:p>
            <w:pPr>
              <w:spacing w:after="0"/>
              <w:rPr>
                <w:sz w:val="20"/>
                <w:szCs w:val="20"/>
                <w:color w:val="auto"/>
              </w:rPr>
            </w:pPr>
            <w:r>
              <w:rPr>
                <w:rFonts w:ascii="Arial" w:cs="Arial" w:eastAsia="Arial" w:hAnsi="Arial"/>
                <w:sz w:val="16"/>
                <w:szCs w:val="16"/>
                <w:color w:val="auto"/>
              </w:rPr>
              <w:t>(Dollars</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gridSpan w:val="7"/>
          </w:tcPr>
          <w:p>
            <w:pPr>
              <w:jc w:val="right"/>
              <w:ind w:right="620"/>
              <w:spacing w:after="0"/>
              <w:rPr>
                <w:sz w:val="20"/>
                <w:szCs w:val="20"/>
                <w:color w:val="auto"/>
              </w:rPr>
            </w:pPr>
            <w:r>
              <w:rPr>
                <w:rFonts w:ascii="Arial" w:cs="Arial" w:eastAsia="Arial" w:hAnsi="Arial"/>
                <w:sz w:val="16"/>
                <w:szCs w:val="16"/>
                <w:b w:val="1"/>
                <w:bCs w:val="1"/>
                <w:color w:val="auto"/>
              </w:rPr>
              <w:t>June 30,</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gridSpan w:val="6"/>
          </w:tcPr>
          <w:p>
            <w:pPr>
              <w:jc w:val="right"/>
              <w:ind w:right="99"/>
              <w:spacing w:after="0"/>
              <w:rPr>
                <w:sz w:val="20"/>
                <w:szCs w:val="20"/>
                <w:color w:val="auto"/>
              </w:rPr>
            </w:pPr>
            <w:r>
              <w:rPr>
                <w:rFonts w:ascii="Arial" w:cs="Arial" w:eastAsia="Arial" w:hAnsi="Arial"/>
                <w:sz w:val="16"/>
                <w:szCs w:val="16"/>
                <w:b w:val="1"/>
                <w:bCs w:val="1"/>
                <w:color w:val="auto"/>
              </w:rPr>
              <w:t>(Decrease)</w:t>
            </w:r>
          </w:p>
        </w:tc>
        <w:tc>
          <w:tcPr>
            <w:tcW w:w="20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gridSpan w:val="7"/>
          </w:tcPr>
          <w:p>
            <w:pPr>
              <w:jc w:val="right"/>
              <w:ind w:right="520"/>
              <w:spacing w:after="0"/>
              <w:rPr>
                <w:sz w:val="20"/>
                <w:szCs w:val="20"/>
                <w:color w:val="auto"/>
              </w:rPr>
            </w:pPr>
            <w:r>
              <w:rPr>
                <w:rFonts w:ascii="Arial" w:cs="Arial" w:eastAsia="Arial" w:hAnsi="Arial"/>
                <w:sz w:val="16"/>
                <w:szCs w:val="16"/>
                <w:b w:val="1"/>
                <w:bCs w:val="1"/>
                <w:color w:val="auto"/>
              </w:rPr>
              <w:t>June 30,</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gridSpan w:val="6"/>
          </w:tcPr>
          <w:p>
            <w:pPr>
              <w:jc w:val="center"/>
              <w:ind w:right="79"/>
              <w:spacing w:after="0"/>
              <w:rPr>
                <w:sz w:val="20"/>
                <w:szCs w:val="20"/>
                <w:color w:val="auto"/>
              </w:rPr>
            </w:pPr>
            <w:r>
              <w:rPr>
                <w:rFonts w:ascii="Arial" w:cs="Arial" w:eastAsia="Arial" w:hAnsi="Arial"/>
                <w:sz w:val="16"/>
                <w:szCs w:val="16"/>
                <w:b w:val="1"/>
                <w:bCs w:val="1"/>
                <w:color w:val="auto"/>
              </w:rPr>
              <w:t>(Decrease)</w:t>
            </w:r>
          </w:p>
        </w:tc>
        <w:tc>
          <w:tcPr>
            <w:tcW w:w="0" w:type="dxa"/>
            <w:vAlign w:val="bottom"/>
          </w:tcPr>
          <w:p>
            <w:pPr>
              <w:spacing w:after="0"/>
              <w:rPr>
                <w:sz w:val="1"/>
                <w:szCs w:val="1"/>
                <w:color w:val="auto"/>
              </w:rPr>
            </w:pPr>
          </w:p>
        </w:tc>
      </w:tr>
      <w:tr>
        <w:trPr>
          <w:trHeight w:val="144"/>
        </w:trPr>
        <w:tc>
          <w:tcPr>
            <w:tcW w:w="15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vMerge w:val="restart"/>
          </w:tcPr>
          <w:p>
            <w:pPr>
              <w:jc w:val="right"/>
              <w:ind w:right="59"/>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2018</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vMerge w:val="restart"/>
          </w:tcPr>
          <w:p>
            <w:pPr>
              <w:jc w:val="right"/>
              <w:ind w:right="219"/>
              <w:spacing w:after="0"/>
              <w:rPr>
                <w:sz w:val="20"/>
                <w:szCs w:val="20"/>
                <w:color w:val="auto"/>
              </w:rPr>
            </w:pPr>
            <w:r>
              <w:rPr>
                <w:rFonts w:ascii="Arial" w:cs="Arial" w:eastAsia="Arial" w:hAnsi="Arial"/>
                <w:sz w:val="16"/>
                <w:szCs w:val="16"/>
                <w:b w:val="1"/>
                <w:bCs w:val="1"/>
                <w:color w:val="auto"/>
              </w:rPr>
              <w:t>$</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vMerge w:val="restart"/>
          </w:tcPr>
          <w:p>
            <w:pPr>
              <w:jc w:val="right"/>
              <w:ind w:right="180"/>
              <w:spacing w:after="0"/>
              <w:rPr>
                <w:sz w:val="20"/>
                <w:szCs w:val="20"/>
                <w:color w:val="auto"/>
              </w:rPr>
            </w:pPr>
            <w:r>
              <w:rPr>
                <w:rFonts w:ascii="Arial" w:cs="Arial" w:eastAsia="Arial" w:hAnsi="Arial"/>
                <w:sz w:val="16"/>
                <w:szCs w:val="16"/>
                <w:b w:val="1"/>
                <w:bCs w:val="1"/>
                <w:color w:val="auto"/>
              </w:rPr>
              <w:t>2019</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2018</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vMerge w:val="restart"/>
          </w:tcPr>
          <w:p>
            <w:pPr>
              <w:jc w:val="right"/>
              <w:ind w:right="219"/>
              <w:spacing w:after="0"/>
              <w:rPr>
                <w:sz w:val="20"/>
                <w:szCs w:val="20"/>
                <w:color w:val="auto"/>
              </w:rPr>
            </w:pPr>
            <w:r>
              <w:rPr>
                <w:rFonts w:ascii="Arial" w:cs="Arial" w:eastAsia="Arial" w:hAnsi="Arial"/>
                <w:sz w:val="16"/>
                <w:szCs w:val="16"/>
                <w:b w:val="1"/>
                <w:bCs w:val="1"/>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vMerge w:val="restart"/>
          </w:tcPr>
          <w:p>
            <w:pPr>
              <w:jc w:val="right"/>
              <w:ind w:right="23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187"/>
        </w:trPr>
        <w:tc>
          <w:tcPr>
            <w:tcW w:w="156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in thousands)</w:t>
            </w:r>
          </w:p>
        </w:tc>
        <w:tc>
          <w:tcPr>
            <w:tcW w:w="16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vMerge w:val="continue"/>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gridSpan w:val="2"/>
            <w:vMerge w:val="continue"/>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1560" w:type="dxa"/>
            <w:vAlign w:val="bottom"/>
            <w:gridSpan w:val="2"/>
            <w:shd w:val="clear" w:color="auto" w:fill="CCEEFF"/>
          </w:tcPr>
          <w:p>
            <w:pPr>
              <w:spacing w:after="0" w:line="169" w:lineRule="exact"/>
              <w:rPr>
                <w:sz w:val="20"/>
                <w:szCs w:val="20"/>
                <w:color w:val="auto"/>
              </w:rPr>
            </w:pPr>
            <w:r>
              <w:rPr>
                <w:rFonts w:ascii="Arial" w:cs="Arial" w:eastAsia="Arial" w:hAnsi="Arial"/>
                <w:sz w:val="16"/>
                <w:szCs w:val="16"/>
                <w:b w:val="1"/>
                <w:bCs w:val="1"/>
                <w:color w:val="auto"/>
              </w:rPr>
              <w:t>Net income</w:t>
            </w:r>
          </w:p>
        </w:tc>
        <w:tc>
          <w:tcPr>
            <w:tcW w:w="1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line="169" w:lineRule="exact"/>
              <w:rPr>
                <w:sz w:val="20"/>
                <w:szCs w:val="20"/>
                <w:color w:val="auto"/>
              </w:rPr>
            </w:pPr>
            <w:r>
              <w:rPr>
                <w:rFonts w:ascii="Arial" w:cs="Arial" w:eastAsia="Arial" w:hAnsi="Arial"/>
                <w:sz w:val="16"/>
                <w:szCs w:val="16"/>
                <w:color w:val="auto"/>
                <w:w w:val="89"/>
              </w:rPr>
              <w:t>$</w:t>
            </w:r>
          </w:p>
        </w:tc>
        <w:tc>
          <w:tcPr>
            <w:tcW w:w="720" w:type="dxa"/>
            <w:vAlign w:val="bottom"/>
            <w:gridSpan w:val="2"/>
            <w:shd w:val="clear" w:color="auto" w:fill="CCEEFF"/>
          </w:tcPr>
          <w:p>
            <w:pPr>
              <w:jc w:val="right"/>
              <w:ind w:right="60"/>
              <w:spacing w:after="0" w:line="169" w:lineRule="exact"/>
              <w:rPr>
                <w:sz w:val="20"/>
                <w:szCs w:val="20"/>
                <w:color w:val="auto"/>
              </w:rPr>
            </w:pPr>
            <w:r>
              <w:rPr>
                <w:rFonts w:ascii="Arial" w:cs="Arial" w:eastAsia="Arial" w:hAnsi="Arial"/>
                <w:sz w:val="16"/>
                <w:szCs w:val="16"/>
                <w:color w:val="auto"/>
              </w:rPr>
              <w:t>2,785</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line="169" w:lineRule="exact"/>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60"/>
              <w:spacing w:after="0" w:line="169" w:lineRule="exact"/>
              <w:rPr>
                <w:sz w:val="20"/>
                <w:szCs w:val="20"/>
                <w:color w:val="auto"/>
              </w:rPr>
            </w:pPr>
            <w:r>
              <w:rPr>
                <w:rFonts w:ascii="Arial" w:cs="Arial" w:eastAsia="Arial" w:hAnsi="Arial"/>
                <w:sz w:val="16"/>
                <w:szCs w:val="16"/>
                <w:color w:val="auto"/>
              </w:rPr>
              <w:t>2,572</w:t>
            </w: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line="169" w:lineRule="exact"/>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rPr>
              <w:t>213</w:t>
            </w:r>
          </w:p>
        </w:tc>
        <w:tc>
          <w:tcPr>
            <w:tcW w:w="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gridSpan w:val="3"/>
            <w:shd w:val="clear" w:color="auto" w:fill="CCEEFF"/>
          </w:tcPr>
          <w:p>
            <w:pPr>
              <w:jc w:val="right"/>
              <w:spacing w:after="0" w:line="169" w:lineRule="exact"/>
              <w:rPr>
                <w:sz w:val="20"/>
                <w:szCs w:val="20"/>
                <w:color w:val="auto"/>
              </w:rPr>
            </w:pPr>
            <w:r>
              <w:rPr>
                <w:rFonts w:ascii="Arial" w:cs="Arial" w:eastAsia="Arial" w:hAnsi="Arial"/>
                <w:sz w:val="16"/>
                <w:szCs w:val="16"/>
                <w:color w:val="auto"/>
              </w:rPr>
              <w:t>8 %</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line="169" w:lineRule="exact"/>
              <w:rPr>
                <w:sz w:val="20"/>
                <w:szCs w:val="20"/>
                <w:color w:val="auto"/>
              </w:rPr>
            </w:pPr>
            <w:r>
              <w:rPr>
                <w:rFonts w:ascii="Arial" w:cs="Arial" w:eastAsia="Arial" w:hAnsi="Arial"/>
                <w:sz w:val="16"/>
                <w:szCs w:val="16"/>
                <w:color w:val="auto"/>
              </w:rPr>
              <w:t>$</w:t>
            </w:r>
          </w:p>
        </w:tc>
        <w:tc>
          <w:tcPr>
            <w:tcW w:w="620" w:type="dxa"/>
            <w:vAlign w:val="bottom"/>
            <w:gridSpan w:val="2"/>
            <w:shd w:val="clear" w:color="auto" w:fill="CCEEFF"/>
          </w:tcPr>
          <w:p>
            <w:pPr>
              <w:jc w:val="right"/>
              <w:ind w:right="60"/>
              <w:spacing w:after="0" w:line="169" w:lineRule="exact"/>
              <w:rPr>
                <w:sz w:val="20"/>
                <w:szCs w:val="20"/>
                <w:color w:val="auto"/>
              </w:rPr>
            </w:pPr>
            <w:r>
              <w:rPr>
                <w:rFonts w:ascii="Arial" w:cs="Arial" w:eastAsia="Arial" w:hAnsi="Arial"/>
                <w:sz w:val="16"/>
                <w:szCs w:val="16"/>
                <w:color w:val="auto"/>
              </w:rPr>
              <w:t>4,257</w:t>
            </w: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gridSpan w:val="2"/>
            <w:shd w:val="clear" w:color="auto" w:fill="CCEEFF"/>
          </w:tcPr>
          <w:p>
            <w:pPr>
              <w:jc w:val="right"/>
              <w:ind w:right="40"/>
              <w:spacing w:after="0" w:line="169" w:lineRule="exact"/>
              <w:rPr>
                <w:sz w:val="20"/>
                <w:szCs w:val="20"/>
                <w:color w:val="auto"/>
              </w:rPr>
            </w:pPr>
            <w:r>
              <w:rPr>
                <w:rFonts w:ascii="Arial" w:cs="Arial" w:eastAsia="Arial" w:hAnsi="Arial"/>
                <w:sz w:val="16"/>
                <w:szCs w:val="16"/>
                <w:color w:val="auto"/>
              </w:rPr>
              <w:t>2,522</w:t>
            </w: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54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rPr>
              <w:t>1,735</w:t>
            </w: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0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rPr>
              <w:t>69 %</w:t>
            </w:r>
          </w:p>
        </w:tc>
        <w:tc>
          <w:tcPr>
            <w:tcW w:w="0" w:type="dxa"/>
            <w:vAlign w:val="bottom"/>
          </w:tcPr>
          <w:p>
            <w:pPr>
              <w:spacing w:after="0"/>
              <w:rPr>
                <w:sz w:val="1"/>
                <w:szCs w:val="1"/>
                <w:color w:val="auto"/>
              </w:rPr>
            </w:pPr>
          </w:p>
        </w:tc>
      </w:tr>
      <w:tr>
        <w:trPr>
          <w:trHeight w:val="176"/>
        </w:trPr>
        <w:tc>
          <w:tcPr>
            <w:tcW w:w="1560" w:type="dxa"/>
            <w:vAlign w:val="bottom"/>
            <w:gridSpan w:val="2"/>
          </w:tcPr>
          <w:p>
            <w:pPr>
              <w:ind w:left="120"/>
              <w:spacing w:after="0" w:line="176" w:lineRule="exact"/>
              <w:rPr>
                <w:sz w:val="20"/>
                <w:szCs w:val="20"/>
                <w:color w:val="auto"/>
              </w:rPr>
            </w:pPr>
            <w:r>
              <w:rPr>
                <w:rFonts w:ascii="Arial" w:cs="Arial" w:eastAsia="Arial" w:hAnsi="Arial"/>
                <w:sz w:val="16"/>
                <w:szCs w:val="16"/>
                <w:color w:val="auto"/>
              </w:rPr>
              <w:t>Interest income, net</w:t>
            </w: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tcPr>
          <w:p>
            <w:pPr>
              <w:jc w:val="right"/>
              <w:spacing w:after="0" w:line="176" w:lineRule="exact"/>
              <w:rPr>
                <w:sz w:val="20"/>
                <w:szCs w:val="20"/>
                <w:color w:val="auto"/>
              </w:rPr>
            </w:pPr>
            <w:r>
              <w:rPr>
                <w:rFonts w:ascii="Arial" w:cs="Arial" w:eastAsia="Arial" w:hAnsi="Arial"/>
                <w:sz w:val="16"/>
                <w:szCs w:val="16"/>
                <w:color w:val="auto"/>
              </w:rPr>
              <w:t>(78)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spacing w:after="0" w:line="176" w:lineRule="exact"/>
              <w:rPr>
                <w:sz w:val="20"/>
                <w:szCs w:val="20"/>
                <w:color w:val="auto"/>
              </w:rPr>
            </w:pPr>
            <w:r>
              <w:rPr>
                <w:rFonts w:ascii="Arial" w:cs="Arial" w:eastAsia="Arial" w:hAnsi="Arial"/>
                <w:sz w:val="16"/>
                <w:szCs w:val="16"/>
                <w:color w:val="auto"/>
              </w:rPr>
              <w:t>(136)</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jc w:val="right"/>
              <w:spacing w:after="0" w:line="176" w:lineRule="exact"/>
              <w:rPr>
                <w:sz w:val="20"/>
                <w:szCs w:val="20"/>
                <w:color w:val="auto"/>
              </w:rPr>
            </w:pPr>
            <w:r>
              <w:rPr>
                <w:rFonts w:ascii="Arial" w:cs="Arial" w:eastAsia="Arial" w:hAnsi="Arial"/>
                <w:sz w:val="16"/>
                <w:szCs w:val="16"/>
                <w:color w:val="auto"/>
              </w:rPr>
              <w:t>58</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3"/>
          </w:tcPr>
          <w:p>
            <w:pPr>
              <w:jc w:val="right"/>
              <w:spacing w:after="0" w:line="176" w:lineRule="exact"/>
              <w:rPr>
                <w:sz w:val="20"/>
                <w:szCs w:val="20"/>
                <w:color w:val="auto"/>
              </w:rPr>
            </w:pPr>
            <w:r>
              <w:rPr>
                <w:rFonts w:ascii="Arial" w:cs="Arial" w:eastAsia="Arial" w:hAnsi="Arial"/>
                <w:sz w:val="16"/>
                <w:szCs w:val="16"/>
                <w:color w:val="auto"/>
              </w:rPr>
              <w:t>(43)%</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gridSpan w:val="2"/>
          </w:tcPr>
          <w:p>
            <w:pPr>
              <w:jc w:val="right"/>
              <w:spacing w:after="0" w:line="176" w:lineRule="exact"/>
              <w:rPr>
                <w:sz w:val="20"/>
                <w:szCs w:val="20"/>
                <w:color w:val="auto"/>
              </w:rPr>
            </w:pPr>
            <w:r>
              <w:rPr>
                <w:rFonts w:ascii="Arial" w:cs="Arial" w:eastAsia="Arial" w:hAnsi="Arial"/>
                <w:sz w:val="16"/>
                <w:szCs w:val="16"/>
                <w:color w:val="auto"/>
              </w:rPr>
              <w:t>(176)</w:t>
            </w: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gridSpan w:val="2"/>
          </w:tcPr>
          <w:p>
            <w:pPr>
              <w:jc w:val="right"/>
              <w:spacing w:after="0" w:line="176" w:lineRule="exact"/>
              <w:rPr>
                <w:sz w:val="20"/>
                <w:szCs w:val="20"/>
                <w:color w:val="auto"/>
              </w:rPr>
            </w:pPr>
            <w:r>
              <w:rPr>
                <w:rFonts w:ascii="Arial" w:cs="Arial" w:eastAsia="Arial" w:hAnsi="Arial"/>
                <w:sz w:val="16"/>
                <w:szCs w:val="16"/>
                <w:color w:val="auto"/>
              </w:rPr>
              <w:t>(244)</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jc w:val="right"/>
              <w:spacing w:after="0" w:line="176" w:lineRule="exact"/>
              <w:rPr>
                <w:sz w:val="20"/>
                <w:szCs w:val="20"/>
                <w:color w:val="auto"/>
              </w:rPr>
            </w:pPr>
            <w:r>
              <w:rPr>
                <w:rFonts w:ascii="Arial" w:cs="Arial" w:eastAsia="Arial" w:hAnsi="Arial"/>
                <w:sz w:val="16"/>
                <w:szCs w:val="16"/>
                <w:color w:val="auto"/>
              </w:rPr>
              <w:t>68</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00" w:type="dxa"/>
            <w:vAlign w:val="bottom"/>
          </w:tcPr>
          <w:p>
            <w:pPr>
              <w:jc w:val="right"/>
              <w:spacing w:after="0" w:line="176" w:lineRule="exact"/>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164"/>
        </w:trPr>
        <w:tc>
          <w:tcPr>
            <w:tcW w:w="1560" w:type="dxa"/>
            <w:vAlign w:val="bottom"/>
            <w:gridSpan w:val="2"/>
            <w:shd w:val="clear" w:color="auto" w:fill="CCEEFF"/>
          </w:tcPr>
          <w:p>
            <w:pPr>
              <w:ind w:left="120"/>
              <w:spacing w:after="0" w:line="164" w:lineRule="exact"/>
              <w:rPr>
                <w:sz w:val="20"/>
                <w:szCs w:val="20"/>
                <w:color w:val="auto"/>
              </w:rPr>
            </w:pPr>
            <w:r>
              <w:rPr>
                <w:rFonts w:ascii="Arial" w:cs="Arial" w:eastAsia="Arial" w:hAnsi="Arial"/>
                <w:sz w:val="16"/>
                <w:szCs w:val="16"/>
                <w:color w:val="auto"/>
                <w:w w:val="99"/>
              </w:rPr>
              <w:t>Income tax expense</w:t>
            </w:r>
          </w:p>
        </w:tc>
        <w:tc>
          <w:tcPr>
            <w:tcW w:w="1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(benefit)</w:t>
            </w:r>
          </w:p>
        </w:tc>
        <w:tc>
          <w:tcPr>
            <w:tcW w:w="1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422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(1,129)</w:t>
            </w: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1,551</w:t>
            </w:r>
          </w:p>
        </w:tc>
        <w:tc>
          <w:tcPr>
            <w:tcW w:w="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(137)%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(2,691)</w:t>
            </w: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(2,815)</w:t>
            </w:r>
          </w:p>
        </w:tc>
        <w:tc>
          <w:tcPr>
            <w:tcW w:w="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64"/>
        </w:trPr>
        <w:tc>
          <w:tcPr>
            <w:tcW w:w="1560" w:type="dxa"/>
            <w:vAlign w:val="bottom"/>
            <w:gridSpan w:val="2"/>
          </w:tcPr>
          <w:p>
            <w:pPr>
              <w:ind w:left="120"/>
              <w:spacing w:after="0" w:line="164" w:lineRule="exact"/>
              <w:rPr>
                <w:sz w:val="20"/>
                <w:szCs w:val="20"/>
                <w:color w:val="auto"/>
              </w:rPr>
            </w:pPr>
            <w:r>
              <w:rPr>
                <w:rFonts w:ascii="Arial" w:cs="Arial" w:eastAsia="Arial" w:hAnsi="Arial"/>
                <w:sz w:val="16"/>
                <w:szCs w:val="16"/>
                <w:color w:val="auto"/>
              </w:rPr>
              <w:t>Depreciation and</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560" w:type="dxa"/>
            <w:vAlign w:val="bottom"/>
            <w:gridSpan w:val="2"/>
          </w:tcPr>
          <w:p>
            <w:pPr>
              <w:ind w:left="120"/>
              <w:spacing w:after="0"/>
              <w:rPr>
                <w:sz w:val="20"/>
                <w:szCs w:val="20"/>
                <w:color w:val="auto"/>
              </w:rPr>
            </w:pPr>
            <w:r>
              <w:rPr>
                <w:rFonts w:ascii="Arial" w:cs="Arial" w:eastAsia="Arial" w:hAnsi="Arial"/>
                <w:sz w:val="16"/>
                <w:szCs w:val="16"/>
                <w:color w:val="auto"/>
              </w:rPr>
              <w:t>amortization</w:t>
            </w: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6"/>
                <w:szCs w:val="16"/>
                <w:color w:val="auto"/>
              </w:rPr>
              <w:t>837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6"/>
                <w:szCs w:val="16"/>
                <w:color w:val="auto"/>
              </w:rPr>
              <w:t>1,224</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(387)</w:t>
            </w: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gridSpan w:val="3"/>
          </w:tcPr>
          <w:p>
            <w:pPr>
              <w:jc w:val="right"/>
              <w:spacing w:after="0"/>
              <w:rPr>
                <w:sz w:val="20"/>
                <w:szCs w:val="20"/>
                <w:color w:val="auto"/>
              </w:rPr>
            </w:pPr>
            <w:r>
              <w:rPr>
                <w:rFonts w:ascii="Arial" w:cs="Arial" w:eastAsia="Arial" w:hAnsi="Arial"/>
                <w:sz w:val="16"/>
                <w:szCs w:val="16"/>
                <w:color w:val="auto"/>
              </w:rPr>
              <w:t>(32)%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6"/>
                <w:szCs w:val="16"/>
                <w:color w:val="auto"/>
              </w:rPr>
              <w:t>1,833</w:t>
            </w: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1,687</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146</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9 %</w:t>
            </w:r>
          </w:p>
        </w:tc>
        <w:tc>
          <w:tcPr>
            <w:tcW w:w="0" w:type="dxa"/>
            <w:vAlign w:val="bottom"/>
          </w:tcPr>
          <w:p>
            <w:pPr>
              <w:spacing w:after="0"/>
              <w:rPr>
                <w:sz w:val="1"/>
                <w:szCs w:val="1"/>
                <w:color w:val="auto"/>
              </w:rPr>
            </w:pPr>
          </w:p>
        </w:tc>
      </w:tr>
      <w:tr>
        <w:trPr>
          <w:trHeight w:val="164"/>
        </w:trPr>
        <w:tc>
          <w:tcPr>
            <w:tcW w:w="1560" w:type="dxa"/>
            <w:vAlign w:val="bottom"/>
            <w:gridSpan w:val="2"/>
            <w:shd w:val="clear" w:color="auto" w:fill="CCEEFF"/>
          </w:tcPr>
          <w:p>
            <w:pPr>
              <w:ind w:left="120"/>
              <w:spacing w:after="0" w:line="164" w:lineRule="exact"/>
              <w:rPr>
                <w:sz w:val="20"/>
                <w:szCs w:val="20"/>
                <w:color w:val="auto"/>
              </w:rPr>
            </w:pPr>
            <w:r>
              <w:rPr>
                <w:rFonts w:ascii="Arial" w:cs="Arial" w:eastAsia="Arial" w:hAnsi="Arial"/>
                <w:sz w:val="16"/>
                <w:szCs w:val="16"/>
                <w:color w:val="auto"/>
              </w:rPr>
              <w:t>Stock-based</w:t>
            </w:r>
          </w:p>
        </w:tc>
        <w:tc>
          <w:tcPr>
            <w:tcW w:w="1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compensation</w:t>
            </w:r>
          </w:p>
        </w:tc>
        <w:tc>
          <w:tcPr>
            <w:tcW w:w="1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2,274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1,777</w:t>
            </w: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497</w:t>
            </w:r>
          </w:p>
        </w:tc>
        <w:tc>
          <w:tcPr>
            <w:tcW w:w="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28 %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5,057</w:t>
            </w: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3,258</w:t>
            </w:r>
          </w:p>
        </w:tc>
        <w:tc>
          <w:tcPr>
            <w:tcW w:w="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1,799</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55 %</w:t>
            </w:r>
          </w:p>
        </w:tc>
        <w:tc>
          <w:tcPr>
            <w:tcW w:w="0" w:type="dxa"/>
            <w:vAlign w:val="bottom"/>
          </w:tcPr>
          <w:p>
            <w:pPr>
              <w:spacing w:after="0"/>
              <w:rPr>
                <w:sz w:val="1"/>
                <w:szCs w:val="1"/>
                <w:color w:val="auto"/>
              </w:rPr>
            </w:pPr>
          </w:p>
        </w:tc>
      </w:tr>
      <w:tr>
        <w:trPr>
          <w:trHeight w:val="176"/>
        </w:trPr>
        <w:tc>
          <w:tcPr>
            <w:tcW w:w="1560" w:type="dxa"/>
            <w:vAlign w:val="bottom"/>
            <w:gridSpan w:val="2"/>
          </w:tcPr>
          <w:p>
            <w:pPr>
              <w:spacing w:after="0" w:line="169" w:lineRule="exact"/>
              <w:rPr>
                <w:sz w:val="20"/>
                <w:szCs w:val="20"/>
                <w:color w:val="auto"/>
              </w:rPr>
            </w:pPr>
            <w:r>
              <w:rPr>
                <w:rFonts w:ascii="Arial" w:cs="Arial" w:eastAsia="Arial" w:hAnsi="Arial"/>
                <w:sz w:val="16"/>
                <w:szCs w:val="16"/>
                <w:b w:val="1"/>
                <w:bCs w:val="1"/>
                <w:color w:val="auto"/>
              </w:rPr>
              <w:t>Adjusted EBITDA</w:t>
            </w: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Borders>
              <w:bottom w:val="single" w:sz="8" w:color="auto"/>
            </w:tcBorders>
          </w:tcPr>
          <w:p>
            <w:pPr>
              <w:spacing w:after="0" w:line="169" w:lineRule="exact"/>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gridSpan w:val="2"/>
          </w:tcPr>
          <w:p>
            <w:pPr>
              <w:jc w:val="right"/>
              <w:ind w:right="60"/>
              <w:spacing w:after="0" w:line="169" w:lineRule="exact"/>
              <w:rPr>
                <w:sz w:val="20"/>
                <w:szCs w:val="20"/>
                <w:color w:val="auto"/>
              </w:rPr>
            </w:pPr>
            <w:r>
              <w:rPr>
                <w:rFonts w:ascii="Arial" w:cs="Arial" w:eastAsia="Arial" w:hAnsi="Arial"/>
                <w:sz w:val="16"/>
                <w:szCs w:val="16"/>
                <w:color w:val="auto"/>
              </w:rPr>
              <w:t>6,240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gridSpan w:val="2"/>
          </w:tcPr>
          <w:p>
            <w:pPr>
              <w:jc w:val="right"/>
              <w:ind w:right="60"/>
              <w:spacing w:after="0" w:line="169" w:lineRule="exact"/>
              <w:rPr>
                <w:sz w:val="20"/>
                <w:szCs w:val="20"/>
                <w:color w:val="auto"/>
              </w:rPr>
            </w:pPr>
            <w:r>
              <w:rPr>
                <w:rFonts w:ascii="Arial" w:cs="Arial" w:eastAsia="Arial" w:hAnsi="Arial"/>
                <w:sz w:val="16"/>
                <w:szCs w:val="16"/>
                <w:color w:val="auto"/>
              </w:rPr>
              <w:t>4,308</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6"/>
                <w:szCs w:val="16"/>
                <w:color w:val="auto"/>
              </w:rPr>
              <w:t>1,932</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3"/>
          </w:tcPr>
          <w:p>
            <w:pPr>
              <w:jc w:val="right"/>
              <w:spacing w:after="0" w:line="169" w:lineRule="exact"/>
              <w:rPr>
                <w:sz w:val="20"/>
                <w:szCs w:val="20"/>
                <w:color w:val="auto"/>
              </w:rPr>
            </w:pPr>
            <w:r>
              <w:rPr>
                <w:rFonts w:ascii="Arial" w:cs="Arial" w:eastAsia="Arial" w:hAnsi="Arial"/>
                <w:sz w:val="16"/>
                <w:szCs w:val="16"/>
                <w:color w:val="auto"/>
              </w:rPr>
              <w:t>45 %</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line="169" w:lineRule="exact"/>
              <w:rPr>
                <w:sz w:val="20"/>
                <w:szCs w:val="20"/>
                <w:color w:val="auto"/>
              </w:rPr>
            </w:pPr>
            <w:r>
              <w:rPr>
                <w:rFonts w:ascii="Arial" w:cs="Arial" w:eastAsia="Arial" w:hAnsi="Arial"/>
                <w:sz w:val="16"/>
                <w:szCs w:val="16"/>
                <w:color w:val="auto"/>
              </w:rPr>
              <w:t>$</w:t>
            </w:r>
          </w:p>
        </w:tc>
        <w:tc>
          <w:tcPr>
            <w:tcW w:w="620" w:type="dxa"/>
            <w:vAlign w:val="bottom"/>
            <w:tcBorders>
              <w:bottom w:val="single" w:sz="8" w:color="auto"/>
            </w:tcBorders>
            <w:gridSpan w:val="2"/>
          </w:tcPr>
          <w:p>
            <w:pPr>
              <w:jc w:val="right"/>
              <w:ind w:right="60"/>
              <w:spacing w:after="0" w:line="169" w:lineRule="exact"/>
              <w:rPr>
                <w:sz w:val="20"/>
                <w:szCs w:val="20"/>
                <w:color w:val="auto"/>
              </w:rPr>
            </w:pPr>
            <w:r>
              <w:rPr>
                <w:rFonts w:ascii="Arial" w:cs="Arial" w:eastAsia="Arial" w:hAnsi="Arial"/>
                <w:sz w:val="16"/>
                <w:szCs w:val="16"/>
                <w:color w:val="auto"/>
              </w:rPr>
              <w:t>8,280</w:t>
            </w: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tcBorders>
              <w:bottom w:val="single" w:sz="8" w:color="auto"/>
            </w:tcBorders>
            <w:gridSpan w:val="2"/>
          </w:tcPr>
          <w:p>
            <w:pPr>
              <w:jc w:val="right"/>
              <w:ind w:right="40"/>
              <w:spacing w:after="0" w:line="169" w:lineRule="exact"/>
              <w:rPr>
                <w:sz w:val="20"/>
                <w:szCs w:val="20"/>
                <w:color w:val="auto"/>
              </w:rPr>
            </w:pPr>
            <w:r>
              <w:rPr>
                <w:rFonts w:ascii="Arial" w:cs="Arial" w:eastAsia="Arial" w:hAnsi="Arial"/>
                <w:sz w:val="16"/>
                <w:szCs w:val="16"/>
                <w:color w:val="auto"/>
              </w:rPr>
              <w:t>4,408</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6"/>
                <w:szCs w:val="16"/>
                <w:color w:val="auto"/>
                <w:w w:val="89"/>
              </w:rPr>
              <w:t>$</w:t>
            </w:r>
          </w:p>
        </w:tc>
        <w:tc>
          <w:tcPr>
            <w:tcW w:w="54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6"/>
                <w:szCs w:val="16"/>
                <w:color w:val="auto"/>
              </w:rPr>
              <w:t>3,872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00" w:type="dxa"/>
            <w:vAlign w:val="bottom"/>
          </w:tcPr>
          <w:p>
            <w:pPr>
              <w:jc w:val="right"/>
              <w:spacing w:after="0" w:line="169" w:lineRule="exact"/>
              <w:rPr>
                <w:sz w:val="20"/>
                <w:szCs w:val="20"/>
                <w:color w:val="auto"/>
              </w:rPr>
            </w:pPr>
            <w:r>
              <w:rPr>
                <w:rFonts w:ascii="Arial" w:cs="Arial" w:eastAsia="Arial" w:hAnsi="Arial"/>
                <w:sz w:val="16"/>
                <w:szCs w:val="16"/>
                <w:color w:val="auto"/>
              </w:rPr>
              <w:t>88 %</w:t>
            </w:r>
          </w:p>
        </w:tc>
        <w:tc>
          <w:tcPr>
            <w:tcW w:w="0" w:type="dxa"/>
            <w:vAlign w:val="bottom"/>
          </w:tcPr>
          <w:p>
            <w:pPr>
              <w:spacing w:after="0"/>
              <w:rPr>
                <w:sz w:val="1"/>
                <w:szCs w:val="1"/>
                <w:color w:val="auto"/>
              </w:rPr>
            </w:pPr>
          </w:p>
        </w:tc>
      </w:tr>
      <w:tr>
        <w:trPr>
          <w:trHeight w:val="657"/>
        </w:trPr>
        <w:tc>
          <w:tcPr>
            <w:tcW w:w="1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60" w:type="dxa"/>
            <w:vAlign w:val="bottom"/>
            <w:gridSpan w:val="18"/>
          </w:tcPr>
          <w:p>
            <w:pPr>
              <w:jc w:val="center"/>
              <w:ind w:right="180"/>
              <w:spacing w:after="0"/>
              <w:rPr>
                <w:sz w:val="20"/>
                <w:szCs w:val="20"/>
                <w:color w:val="auto"/>
              </w:rPr>
            </w:pPr>
            <w:r>
              <w:rPr>
                <w:rFonts w:ascii="Arial" w:cs="Arial" w:eastAsia="Arial" w:hAnsi="Arial"/>
                <w:sz w:val="16"/>
                <w:szCs w:val="16"/>
                <w:b w:val="1"/>
                <w:bCs w:val="1"/>
                <w:color w:val="auto"/>
              </w:rPr>
              <w:t>Tactile Systems Technology, Inc.</w:t>
            </w: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5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60" w:type="dxa"/>
            <w:vAlign w:val="bottom"/>
            <w:gridSpan w:val="18"/>
          </w:tcPr>
          <w:p>
            <w:pPr>
              <w:jc w:val="center"/>
              <w:ind w:right="200"/>
              <w:spacing w:after="0"/>
              <w:rPr>
                <w:sz w:val="20"/>
                <w:szCs w:val="20"/>
                <w:color w:val="auto"/>
              </w:rPr>
            </w:pPr>
            <w:r>
              <w:rPr>
                <w:rFonts w:ascii="Arial" w:cs="Arial" w:eastAsia="Arial" w:hAnsi="Arial"/>
                <w:sz w:val="16"/>
                <w:szCs w:val="16"/>
                <w:b w:val="1"/>
                <w:bCs w:val="1"/>
                <w:color w:val="auto"/>
              </w:rPr>
              <w:t>Supplemental Financial Information</w:t>
            </w: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1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gridSpan w:val="6"/>
          </w:tcPr>
          <w:p>
            <w:pPr>
              <w:jc w:val="center"/>
              <w:spacing w:after="0"/>
              <w:rPr>
                <w:sz w:val="20"/>
                <w:szCs w:val="20"/>
                <w:color w:val="auto"/>
              </w:rPr>
            </w:pPr>
            <w:r>
              <w:rPr>
                <w:rFonts w:ascii="Arial" w:cs="Arial" w:eastAsia="Arial" w:hAnsi="Arial"/>
                <w:sz w:val="16"/>
                <w:szCs w:val="16"/>
                <w:color w:val="auto"/>
              </w:rPr>
              <w:t>(Unaudited)</w:t>
            </w: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2"/>
        </w:trPr>
        <w:tc>
          <w:tcPr>
            <w:tcW w:w="1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60" w:type="dxa"/>
            <w:vAlign w:val="bottom"/>
            <w:gridSpan w:val="8"/>
          </w:tcPr>
          <w:p>
            <w:pPr>
              <w:ind w:left="20"/>
              <w:spacing w:after="0"/>
              <w:rPr>
                <w:sz w:val="20"/>
                <w:szCs w:val="20"/>
                <w:color w:val="auto"/>
              </w:rPr>
            </w:pPr>
            <w:r>
              <w:rPr>
                <w:rFonts w:ascii="Arial" w:cs="Arial" w:eastAsia="Arial" w:hAnsi="Arial"/>
                <w:sz w:val="16"/>
                <w:szCs w:val="16"/>
                <w:b w:val="1"/>
                <w:bCs w:val="1"/>
                <w:color w:val="auto"/>
              </w:rPr>
              <w:t>Three Months Ended</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80" w:type="dxa"/>
            <w:vAlign w:val="bottom"/>
            <w:gridSpan w:val="9"/>
          </w:tcPr>
          <w:p>
            <w:pPr>
              <w:jc w:val="right"/>
              <w:ind w:right="340"/>
              <w:spacing w:after="0"/>
              <w:rPr>
                <w:sz w:val="20"/>
                <w:szCs w:val="20"/>
                <w:color w:val="auto"/>
              </w:rPr>
            </w:pPr>
            <w:r>
              <w:rPr>
                <w:rFonts w:ascii="Arial" w:cs="Arial" w:eastAsia="Arial" w:hAnsi="Arial"/>
                <w:sz w:val="16"/>
                <w:szCs w:val="16"/>
                <w:b w:val="1"/>
                <w:bCs w:val="1"/>
                <w:color w:val="auto"/>
              </w:rPr>
              <w:t>Six Months Ended</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7"/>
        </w:trPr>
        <w:tc>
          <w:tcPr>
            <w:tcW w:w="1560" w:type="dxa"/>
            <w:vAlign w:val="bottom"/>
            <w:gridSpan w:val="2"/>
            <w:vMerge w:val="restart"/>
          </w:tcPr>
          <w:p>
            <w:pPr>
              <w:spacing w:after="0"/>
              <w:rPr>
                <w:sz w:val="20"/>
                <w:szCs w:val="20"/>
                <w:color w:val="auto"/>
              </w:rPr>
            </w:pPr>
            <w:r>
              <w:rPr>
                <w:rFonts w:ascii="Arial" w:cs="Arial" w:eastAsia="Arial" w:hAnsi="Arial"/>
                <w:sz w:val="16"/>
                <w:szCs w:val="16"/>
                <w:color w:val="auto"/>
              </w:rPr>
              <w:t>(Dollars</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60" w:type="dxa"/>
            <w:vAlign w:val="bottom"/>
            <w:gridSpan w:val="7"/>
          </w:tcPr>
          <w:p>
            <w:pPr>
              <w:jc w:val="right"/>
              <w:ind w:right="720"/>
              <w:spacing w:after="0"/>
              <w:rPr>
                <w:sz w:val="20"/>
                <w:szCs w:val="20"/>
                <w:color w:val="auto"/>
              </w:rPr>
            </w:pPr>
            <w:r>
              <w:rPr>
                <w:rFonts w:ascii="Arial" w:cs="Arial" w:eastAsia="Arial" w:hAnsi="Arial"/>
                <w:sz w:val="16"/>
                <w:szCs w:val="16"/>
                <w:b w:val="1"/>
                <w:bCs w:val="1"/>
                <w:color w:val="auto"/>
              </w:rPr>
              <w:t>June 30,</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5"/>
          </w:tcPr>
          <w:p>
            <w:pPr>
              <w:ind w:left="220"/>
              <w:spacing w:after="0"/>
              <w:rPr>
                <w:sz w:val="20"/>
                <w:szCs w:val="20"/>
                <w:color w:val="auto"/>
              </w:rPr>
            </w:pPr>
            <w:r>
              <w:rPr>
                <w:rFonts w:ascii="Arial" w:cs="Arial" w:eastAsia="Arial" w:hAnsi="Arial"/>
                <w:sz w:val="16"/>
                <w:szCs w:val="16"/>
                <w:b w:val="1"/>
                <w:bCs w:val="1"/>
                <w:color w:val="auto"/>
              </w:rPr>
              <w:t>Increase</w:t>
            </w: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5"/>
          </w:tcPr>
          <w:p>
            <w:pPr>
              <w:jc w:val="right"/>
              <w:ind w:right="19"/>
              <w:spacing w:after="0"/>
              <w:rPr>
                <w:sz w:val="20"/>
                <w:szCs w:val="20"/>
                <w:color w:val="auto"/>
              </w:rPr>
            </w:pPr>
            <w:r>
              <w:rPr>
                <w:rFonts w:ascii="Arial" w:cs="Arial" w:eastAsia="Arial" w:hAnsi="Arial"/>
                <w:sz w:val="16"/>
                <w:szCs w:val="16"/>
                <w:b w:val="1"/>
                <w:bCs w:val="1"/>
                <w:color w:val="auto"/>
              </w:rPr>
              <w:t>June 30,</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5"/>
          </w:tcPr>
          <w:p>
            <w:pPr>
              <w:jc w:val="center"/>
              <w:ind w:left="259"/>
              <w:spacing w:after="0"/>
              <w:rPr>
                <w:sz w:val="20"/>
                <w:szCs w:val="20"/>
                <w:color w:val="auto"/>
              </w:rPr>
            </w:pPr>
            <w:r>
              <w:rPr>
                <w:rFonts w:ascii="Arial" w:cs="Arial" w:eastAsia="Arial" w:hAnsi="Arial"/>
                <w:sz w:val="16"/>
                <w:szCs w:val="16"/>
                <w:b w:val="1"/>
                <w:bCs w:val="1"/>
                <w:color w:val="auto"/>
              </w:rPr>
              <w:t>Increase</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4"/>
        </w:trPr>
        <w:tc>
          <w:tcPr>
            <w:tcW w:w="15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vMerge w:val="restart"/>
          </w:tcPr>
          <w:p>
            <w:pPr>
              <w:jc w:val="right"/>
              <w:ind w:right="139"/>
              <w:spacing w:after="0"/>
              <w:rPr>
                <w:sz w:val="20"/>
                <w:szCs w:val="20"/>
                <w:color w:val="auto"/>
              </w:rPr>
            </w:pPr>
            <w:r>
              <w:rPr>
                <w:rFonts w:ascii="Arial" w:cs="Arial" w:eastAsia="Arial" w:hAnsi="Arial"/>
                <w:sz w:val="16"/>
                <w:szCs w:val="16"/>
                <w:b w:val="1"/>
                <w:bCs w:val="1"/>
                <w:color w:val="auto"/>
              </w:rPr>
              <w:t>2019</w:t>
            </w: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b w:val="1"/>
                <w:bCs w:val="1"/>
                <w:color w:val="auto"/>
              </w:rPr>
              <w:t>2018</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vMerge w:val="restart"/>
          </w:tcPr>
          <w:p>
            <w:pPr>
              <w:jc w:val="right"/>
              <w:ind w:right="239"/>
              <w:spacing w:after="0"/>
              <w:rPr>
                <w:sz w:val="20"/>
                <w:szCs w:val="20"/>
                <w:color w:val="auto"/>
              </w:rPr>
            </w:pPr>
            <w:r>
              <w:rPr>
                <w:rFonts w:ascii="Arial" w:cs="Arial" w:eastAsia="Arial" w:hAnsi="Arial"/>
                <w:sz w:val="16"/>
                <w:szCs w:val="16"/>
                <w:b w:val="1"/>
                <w:bCs w:val="1"/>
                <w:color w:val="auto"/>
              </w:rPr>
              <w:t>$</w:t>
            </w: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b w:val="1"/>
                <w:bCs w:val="1"/>
                <w:color w:val="auto"/>
              </w:rPr>
              <w:t>%</w:t>
            </w:r>
          </w:p>
        </w:tc>
        <w:tc>
          <w:tcPr>
            <w:tcW w:w="20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gridSpan w:val="3"/>
            <w:vMerge w:val="restart"/>
          </w:tcPr>
          <w:p>
            <w:pPr>
              <w:ind w:left="120"/>
              <w:spacing w:after="0"/>
              <w:rPr>
                <w:sz w:val="20"/>
                <w:szCs w:val="20"/>
                <w:color w:val="auto"/>
              </w:rPr>
            </w:pPr>
            <w:r>
              <w:rPr>
                <w:rFonts w:ascii="Arial" w:cs="Arial" w:eastAsia="Arial" w:hAnsi="Arial"/>
                <w:sz w:val="16"/>
                <w:szCs w:val="16"/>
                <w:b w:val="1"/>
                <w:bCs w:val="1"/>
                <w:color w:val="auto"/>
              </w:rPr>
              <w:t>2019</w:t>
            </w:r>
          </w:p>
        </w:tc>
        <w:tc>
          <w:tcPr>
            <w:tcW w:w="20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gridSpan w:val="3"/>
            <w:vMerge w:val="restart"/>
          </w:tcPr>
          <w:p>
            <w:pPr>
              <w:jc w:val="right"/>
              <w:ind w:right="79"/>
              <w:spacing w:after="0"/>
              <w:rPr>
                <w:sz w:val="20"/>
                <w:szCs w:val="20"/>
                <w:color w:val="auto"/>
              </w:rPr>
            </w:pPr>
            <w:r>
              <w:rPr>
                <w:rFonts w:ascii="Arial" w:cs="Arial" w:eastAsia="Arial" w:hAnsi="Arial"/>
                <w:sz w:val="16"/>
                <w:szCs w:val="16"/>
                <w:b w:val="1"/>
                <w:bCs w:val="1"/>
                <w:color w:val="auto"/>
              </w:rPr>
              <w:t>2018</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vMerge w:val="restart"/>
          </w:tcPr>
          <w:p>
            <w:pPr>
              <w:jc w:val="right"/>
              <w:ind w:right="179"/>
              <w:spacing w:after="0"/>
              <w:rPr>
                <w:sz w:val="20"/>
                <w:szCs w:val="20"/>
                <w:color w:val="auto"/>
              </w:rPr>
            </w:pPr>
            <w:r>
              <w:rPr>
                <w:rFonts w:ascii="Arial" w:cs="Arial" w:eastAsia="Arial" w:hAnsi="Arial"/>
                <w:sz w:val="16"/>
                <w:szCs w:val="16"/>
                <w:b w:val="1"/>
                <w:bCs w:val="1"/>
                <w:color w:val="auto"/>
              </w:rPr>
              <w:t>$</w:t>
            </w: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vMerge w:val="restart"/>
          </w:tcPr>
          <w:p>
            <w:pPr>
              <w:jc w:val="right"/>
              <w:ind w:right="19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187"/>
        </w:trPr>
        <w:tc>
          <w:tcPr>
            <w:tcW w:w="1560" w:type="dxa"/>
            <w:vAlign w:val="bottom"/>
            <w:gridSpan w:val="2"/>
          </w:tcPr>
          <w:p>
            <w:pPr>
              <w:spacing w:after="0"/>
              <w:rPr>
                <w:sz w:val="20"/>
                <w:szCs w:val="20"/>
                <w:color w:val="auto"/>
              </w:rPr>
            </w:pPr>
            <w:r>
              <w:rPr>
                <w:rFonts w:ascii="Arial" w:cs="Arial" w:eastAsia="Arial" w:hAnsi="Arial"/>
                <w:sz w:val="16"/>
                <w:szCs w:val="16"/>
                <w:color w:val="auto"/>
              </w:rPr>
              <w:t>in thousands)</w:t>
            </w: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gridSpan w:val="3"/>
            <w:vMerge w:val="continue"/>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gridSpan w:val="3"/>
            <w:vMerge w:val="continue"/>
          </w:tcPr>
          <w:p>
            <w:pPr>
              <w:spacing w:after="0"/>
              <w:rPr>
                <w:sz w:val="16"/>
                <w:szCs w:val="16"/>
                <w:color w:val="auto"/>
              </w:rPr>
            </w:pPr>
          </w:p>
        </w:tc>
        <w:tc>
          <w:tcPr>
            <w:tcW w:w="1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1520" w:type="dxa"/>
            <w:vAlign w:val="bottom"/>
            <w:tcBorders>
              <w:top w:val="single" w:sz="8" w:color="auto"/>
            </w:tcBorders>
            <w:shd w:val="clear" w:color="auto" w:fill="CCEEFF"/>
          </w:tcPr>
          <w:p>
            <w:pPr>
              <w:spacing w:after="0" w:line="169" w:lineRule="exact"/>
              <w:rPr>
                <w:sz w:val="20"/>
                <w:szCs w:val="20"/>
                <w:color w:val="auto"/>
              </w:rPr>
            </w:pPr>
            <w:r>
              <w:rPr>
                <w:rFonts w:ascii="Arial" w:cs="Arial" w:eastAsia="Arial" w:hAnsi="Arial"/>
                <w:sz w:val="16"/>
                <w:szCs w:val="16"/>
                <w:color w:val="auto"/>
              </w:rPr>
              <w:t>Flexitouch System</w:t>
            </w:r>
          </w:p>
        </w:tc>
        <w:tc>
          <w:tcPr>
            <w:tcW w:w="4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gridSpan w:val="2"/>
            <w:shd w:val="clear" w:color="auto" w:fill="CCEEFF"/>
          </w:tcPr>
          <w:p>
            <w:pPr>
              <w:jc w:val="right"/>
              <w:spacing w:after="0" w:line="169" w:lineRule="exact"/>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40,959</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100" w:type="dxa"/>
            <w:vAlign w:val="bottom"/>
            <w:tcBorders>
              <w:top w:val="single" w:sz="8" w:color="auto"/>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31,356</w:t>
            </w:r>
          </w:p>
        </w:tc>
        <w:tc>
          <w:tcPr>
            <w:tcW w:w="16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gridSpan w:val="2"/>
            <w:shd w:val="clear" w:color="auto" w:fill="CCEEFF"/>
          </w:tcPr>
          <w:p>
            <w:pPr>
              <w:jc w:val="right"/>
              <w:ind w:right="24"/>
              <w:spacing w:after="0" w:line="169" w:lineRule="exact"/>
              <w:rPr>
                <w:sz w:val="20"/>
                <w:szCs w:val="20"/>
                <w:color w:val="auto"/>
              </w:rPr>
            </w:pPr>
            <w:r>
              <w:rPr>
                <w:rFonts w:ascii="Arial" w:cs="Arial" w:eastAsia="Arial" w:hAnsi="Arial"/>
                <w:sz w:val="16"/>
                <w:szCs w:val="16"/>
                <w:color w:val="auto"/>
                <w:w w:val="89"/>
              </w:rPr>
              <w:t>$</w:t>
            </w:r>
          </w:p>
        </w:tc>
        <w:tc>
          <w:tcPr>
            <w:tcW w:w="56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9,603</w:t>
            </w:r>
          </w:p>
        </w:tc>
        <w:tc>
          <w:tcPr>
            <w:tcW w:w="4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40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98"/>
              </w:rPr>
              <w:t>31 %</w:t>
            </w:r>
          </w:p>
        </w:tc>
        <w:tc>
          <w:tcPr>
            <w:tcW w:w="2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gridSpan w:val="2"/>
            <w:shd w:val="clear" w:color="auto" w:fill="CCEEFF"/>
          </w:tcPr>
          <w:p>
            <w:pPr>
              <w:jc w:val="right"/>
              <w:ind w:right="60"/>
              <w:spacing w:after="0" w:line="169" w:lineRule="exact"/>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gridSpan w:val="3"/>
            <w:shd w:val="clear" w:color="auto" w:fill="CCEEFF"/>
          </w:tcPr>
          <w:p>
            <w:pPr>
              <w:jc w:val="right"/>
              <w:spacing w:after="0" w:line="169" w:lineRule="exact"/>
              <w:rPr>
                <w:sz w:val="20"/>
                <w:szCs w:val="20"/>
                <w:color w:val="auto"/>
              </w:rPr>
            </w:pPr>
            <w:r>
              <w:rPr>
                <w:rFonts w:ascii="Arial" w:cs="Arial" w:eastAsia="Arial" w:hAnsi="Arial"/>
                <w:sz w:val="16"/>
                <w:szCs w:val="16"/>
                <w:color w:val="auto"/>
              </w:rPr>
              <w:t>75,068</w:t>
            </w:r>
          </w:p>
        </w:tc>
        <w:tc>
          <w:tcPr>
            <w:tcW w:w="2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tcBorders>
              <w:top w:val="single" w:sz="8" w:color="auto"/>
            </w:tcBorders>
            <w:gridSpan w:val="3"/>
            <w:shd w:val="clear" w:color="auto" w:fill="CCEEFF"/>
          </w:tcPr>
          <w:p>
            <w:pPr>
              <w:jc w:val="right"/>
              <w:spacing w:after="0" w:line="169" w:lineRule="exact"/>
              <w:rPr>
                <w:sz w:val="20"/>
                <w:szCs w:val="20"/>
                <w:color w:val="auto"/>
              </w:rPr>
            </w:pPr>
            <w:r>
              <w:rPr>
                <w:rFonts w:ascii="Arial" w:cs="Arial" w:eastAsia="Arial" w:hAnsi="Arial"/>
                <w:sz w:val="16"/>
                <w:szCs w:val="16"/>
                <w:color w:val="auto"/>
              </w:rPr>
              <w:t>55,886</w:t>
            </w:r>
          </w:p>
        </w:tc>
        <w:tc>
          <w:tcPr>
            <w:tcW w:w="16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gridSpan w:val="2"/>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tcBorders>
              <w:top w:val="single" w:sz="8" w:color="auto"/>
            </w:tcBorders>
            <w:gridSpan w:val="2"/>
            <w:shd w:val="clear" w:color="auto" w:fill="CCEEFF"/>
          </w:tcPr>
          <w:p>
            <w:pPr>
              <w:jc w:val="right"/>
              <w:ind w:right="40"/>
              <w:spacing w:after="0" w:line="169" w:lineRule="exact"/>
              <w:rPr>
                <w:sz w:val="20"/>
                <w:szCs w:val="20"/>
                <w:color w:val="auto"/>
              </w:rPr>
            </w:pPr>
            <w:r>
              <w:rPr>
                <w:rFonts w:ascii="Arial" w:cs="Arial" w:eastAsia="Arial" w:hAnsi="Arial"/>
                <w:sz w:val="16"/>
                <w:szCs w:val="16"/>
                <w:color w:val="auto"/>
              </w:rPr>
              <w:t>19,182</w:t>
            </w:r>
          </w:p>
        </w:tc>
        <w:tc>
          <w:tcPr>
            <w:tcW w:w="1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500" w:type="dxa"/>
            <w:vAlign w:val="bottom"/>
            <w:tcBorders>
              <w:top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34 %</w:t>
            </w:r>
          </w:p>
        </w:tc>
        <w:tc>
          <w:tcPr>
            <w:tcW w:w="0" w:type="dxa"/>
            <w:vAlign w:val="bottom"/>
          </w:tcPr>
          <w:p>
            <w:pPr>
              <w:spacing w:after="0"/>
              <w:rPr>
                <w:sz w:val="1"/>
                <w:szCs w:val="1"/>
                <w:color w:val="auto"/>
              </w:rPr>
            </w:pPr>
          </w:p>
        </w:tc>
      </w:tr>
      <w:tr>
        <w:trPr>
          <w:trHeight w:val="164"/>
        </w:trPr>
        <w:tc>
          <w:tcPr>
            <w:tcW w:w="1560" w:type="dxa"/>
            <w:vAlign w:val="bottom"/>
            <w:gridSpan w:val="2"/>
          </w:tcPr>
          <w:p>
            <w:pPr>
              <w:spacing w:after="0" w:line="164" w:lineRule="exact"/>
              <w:rPr>
                <w:sz w:val="20"/>
                <w:szCs w:val="20"/>
                <w:color w:val="auto"/>
              </w:rPr>
            </w:pPr>
            <w:r>
              <w:rPr>
                <w:rFonts w:ascii="Arial" w:cs="Arial" w:eastAsia="Arial" w:hAnsi="Arial"/>
                <w:sz w:val="16"/>
                <w:szCs w:val="16"/>
                <w:color w:val="auto"/>
              </w:rPr>
              <w:t>Entre / Actitouch</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56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color w:val="auto"/>
              </w:rPr>
              <w:t>Systems</w:t>
            </w:r>
          </w:p>
        </w:tc>
        <w:tc>
          <w:tcPr>
            <w:tcW w:w="160" w:type="dxa"/>
            <w:vAlign w:val="bottom"/>
            <w:tcBorders>
              <w:bottom w:val="single" w:sz="8" w:color="CCEEFF"/>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4,241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2,777</w:t>
            </w:r>
          </w:p>
        </w:tc>
        <w:tc>
          <w:tcPr>
            <w:tcW w:w="1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1,464</w:t>
            </w: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98"/>
              </w:rPr>
              <w:t>53 %</w:t>
            </w:r>
          </w:p>
        </w:tc>
        <w:tc>
          <w:tcPr>
            <w:tcW w:w="2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7,749</w:t>
            </w:r>
          </w:p>
        </w:tc>
        <w:tc>
          <w:tcPr>
            <w:tcW w:w="2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9"/>
              </w:rPr>
              <w:t>5,095</w:t>
            </w:r>
          </w:p>
        </w:tc>
        <w:tc>
          <w:tcPr>
            <w:tcW w:w="1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2,654</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5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52 %</w:t>
            </w:r>
          </w:p>
        </w:tc>
        <w:tc>
          <w:tcPr>
            <w:tcW w:w="0" w:type="dxa"/>
            <w:vAlign w:val="bottom"/>
          </w:tcPr>
          <w:p>
            <w:pPr>
              <w:spacing w:after="0"/>
              <w:rPr>
                <w:sz w:val="1"/>
                <w:szCs w:val="1"/>
                <w:color w:val="auto"/>
              </w:rPr>
            </w:pPr>
          </w:p>
        </w:tc>
      </w:tr>
      <w:tr>
        <w:trPr>
          <w:trHeight w:val="176"/>
        </w:trPr>
        <w:tc>
          <w:tcPr>
            <w:tcW w:w="1560" w:type="dxa"/>
            <w:vAlign w:val="bottom"/>
            <w:tcBorders>
              <w:bottom w:val="single" w:sz="8" w:color="CCEEFF"/>
            </w:tcBorders>
            <w:gridSpan w:val="2"/>
            <w:shd w:val="clear" w:color="auto" w:fill="CCEEFF"/>
          </w:tcPr>
          <w:p>
            <w:pPr>
              <w:ind w:left="120"/>
              <w:spacing w:after="0" w:line="169" w:lineRule="exact"/>
              <w:rPr>
                <w:sz w:val="20"/>
                <w:szCs w:val="20"/>
                <w:color w:val="auto"/>
              </w:rPr>
            </w:pPr>
            <w:r>
              <w:rPr>
                <w:rFonts w:ascii="Arial" w:cs="Arial" w:eastAsia="Arial" w:hAnsi="Arial"/>
                <w:sz w:val="16"/>
                <w:szCs w:val="16"/>
                <w:b w:val="1"/>
                <w:bCs w:val="1"/>
                <w:color w:val="auto"/>
              </w:rPr>
              <w:t>Total Revenue</w:t>
            </w:r>
          </w:p>
        </w:tc>
        <w:tc>
          <w:tcPr>
            <w:tcW w:w="16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gridSpan w:val="2"/>
            <w:shd w:val="clear" w:color="auto" w:fill="CCEEFF"/>
          </w:tcPr>
          <w:p>
            <w:pPr>
              <w:jc w:val="right"/>
              <w:spacing w:after="0" w:line="169" w:lineRule="exact"/>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45,200</w:t>
            </w: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100" w:type="dxa"/>
            <w:vAlign w:val="bottom"/>
            <w:tcBorders>
              <w:bottom w:val="single" w:sz="8" w:color="auto"/>
            </w:tcBorders>
            <w:shd w:val="clear" w:color="auto" w:fill="CCEEFF"/>
          </w:tcPr>
          <w:p>
            <w:pPr>
              <w:spacing w:after="0"/>
              <w:rPr>
                <w:sz w:val="15"/>
                <w:szCs w:val="15"/>
                <w:color w:val="auto"/>
              </w:rPr>
            </w:pPr>
          </w:p>
        </w:tc>
        <w:tc>
          <w:tcPr>
            <w:tcW w:w="580" w:type="dxa"/>
            <w:vAlign w:val="bottom"/>
            <w:tcBorders>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34,133</w:t>
            </w:r>
          </w:p>
        </w:tc>
        <w:tc>
          <w:tcPr>
            <w:tcW w:w="1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gridSpan w:val="2"/>
            <w:shd w:val="clear" w:color="auto" w:fill="CCEEFF"/>
          </w:tcPr>
          <w:p>
            <w:pPr>
              <w:jc w:val="right"/>
              <w:ind w:right="24"/>
              <w:spacing w:after="0" w:line="169" w:lineRule="exact"/>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11,067</w:t>
            </w:r>
          </w:p>
        </w:tc>
        <w:tc>
          <w:tcPr>
            <w:tcW w:w="40" w:type="dxa"/>
            <w:vAlign w:val="bottom"/>
            <w:tcBorders>
              <w:bottom w:val="single" w:sz="8" w:color="auto"/>
            </w:tcBorders>
            <w:shd w:val="clear" w:color="auto" w:fill="CCEEFF"/>
          </w:tcPr>
          <w:p>
            <w:pPr>
              <w:spacing w:after="0"/>
              <w:rPr>
                <w:sz w:val="15"/>
                <w:szCs w:val="15"/>
                <w:color w:val="auto"/>
              </w:rPr>
            </w:pPr>
          </w:p>
        </w:tc>
        <w:tc>
          <w:tcPr>
            <w:tcW w:w="1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400" w:type="dxa"/>
            <w:vAlign w:val="bottom"/>
            <w:tcBorders>
              <w:bottom w:val="single" w:sz="8" w:color="CCEEFF"/>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98"/>
              </w:rPr>
              <w:t>32 %</w:t>
            </w:r>
          </w:p>
        </w:tc>
        <w:tc>
          <w:tcPr>
            <w:tcW w:w="2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gridSpan w:val="2"/>
            <w:shd w:val="clear" w:color="auto" w:fill="CCEEFF"/>
          </w:tcPr>
          <w:p>
            <w:pPr>
              <w:jc w:val="right"/>
              <w:ind w:right="60"/>
              <w:spacing w:after="0" w:line="169" w:lineRule="exact"/>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gridSpan w:val="3"/>
            <w:shd w:val="clear" w:color="auto" w:fill="CCEEFF"/>
          </w:tcPr>
          <w:p>
            <w:pPr>
              <w:jc w:val="right"/>
              <w:spacing w:after="0" w:line="169" w:lineRule="exact"/>
              <w:rPr>
                <w:sz w:val="20"/>
                <w:szCs w:val="20"/>
                <w:color w:val="auto"/>
              </w:rPr>
            </w:pPr>
            <w:r>
              <w:rPr>
                <w:rFonts w:ascii="Arial" w:cs="Arial" w:eastAsia="Arial" w:hAnsi="Arial"/>
                <w:sz w:val="16"/>
                <w:szCs w:val="16"/>
                <w:color w:val="auto"/>
              </w:rPr>
              <w:t>82,817</w:t>
            </w:r>
          </w:p>
        </w:tc>
        <w:tc>
          <w:tcPr>
            <w:tcW w:w="2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tcBorders>
              <w:bottom w:val="single" w:sz="8" w:color="auto"/>
            </w:tcBorders>
            <w:gridSpan w:val="3"/>
            <w:shd w:val="clear" w:color="auto" w:fill="CCEEFF"/>
          </w:tcPr>
          <w:p>
            <w:pPr>
              <w:jc w:val="right"/>
              <w:spacing w:after="0" w:line="169" w:lineRule="exact"/>
              <w:rPr>
                <w:sz w:val="20"/>
                <w:szCs w:val="20"/>
                <w:color w:val="auto"/>
              </w:rPr>
            </w:pPr>
            <w:r>
              <w:rPr>
                <w:rFonts w:ascii="Arial" w:cs="Arial" w:eastAsia="Arial" w:hAnsi="Arial"/>
                <w:sz w:val="16"/>
                <w:szCs w:val="16"/>
                <w:color w:val="auto"/>
              </w:rPr>
              <w:t>60,981</w:t>
            </w:r>
          </w:p>
        </w:tc>
        <w:tc>
          <w:tcPr>
            <w:tcW w:w="1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gridSpan w:val="2"/>
            <w:shd w:val="clear" w:color="auto" w:fill="CCEEFF"/>
          </w:tcPr>
          <w:p>
            <w:pPr>
              <w:jc w:val="right"/>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tcBorders>
              <w:bottom w:val="single" w:sz="8" w:color="auto"/>
            </w:tcBorders>
            <w:gridSpan w:val="2"/>
            <w:shd w:val="clear" w:color="auto" w:fill="CCEEFF"/>
          </w:tcPr>
          <w:p>
            <w:pPr>
              <w:jc w:val="right"/>
              <w:ind w:right="40"/>
              <w:spacing w:after="0" w:line="169" w:lineRule="exact"/>
              <w:rPr>
                <w:sz w:val="20"/>
                <w:szCs w:val="20"/>
                <w:color w:val="auto"/>
              </w:rPr>
            </w:pPr>
            <w:r>
              <w:rPr>
                <w:rFonts w:ascii="Arial" w:cs="Arial" w:eastAsia="Arial" w:hAnsi="Arial"/>
                <w:sz w:val="16"/>
                <w:szCs w:val="16"/>
                <w:color w:val="auto"/>
              </w:rPr>
              <w:t>21,836</w:t>
            </w:r>
          </w:p>
        </w:tc>
        <w:tc>
          <w:tcPr>
            <w:tcW w:w="1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500" w:type="dxa"/>
            <w:vAlign w:val="bottom"/>
            <w:tcBorders>
              <w:bottom w:val="single" w:sz="8" w:color="CCEEFF"/>
            </w:tcBorders>
            <w:shd w:val="clear" w:color="auto" w:fill="CCEEFF"/>
          </w:tcPr>
          <w:p>
            <w:pPr>
              <w:jc w:val="right"/>
              <w:spacing w:after="0" w:line="169" w:lineRule="exact"/>
              <w:rPr>
                <w:sz w:val="20"/>
                <w:szCs w:val="20"/>
                <w:color w:val="auto"/>
              </w:rPr>
            </w:pPr>
            <w:r>
              <w:rPr>
                <w:rFonts w:ascii="Arial" w:cs="Arial" w:eastAsia="Arial" w:hAnsi="Arial"/>
                <w:sz w:val="16"/>
                <w:szCs w:val="16"/>
                <w:color w:val="auto"/>
              </w:rPr>
              <w:t>36 %</w:t>
            </w:r>
          </w:p>
        </w:tc>
        <w:tc>
          <w:tcPr>
            <w:tcW w:w="0" w:type="dxa"/>
            <w:vAlign w:val="bottom"/>
          </w:tcPr>
          <w:p>
            <w:pPr>
              <w:spacing w:after="0"/>
              <w:rPr>
                <w:sz w:val="1"/>
                <w:szCs w:val="1"/>
                <w:color w:val="auto"/>
              </w:rPr>
            </w:pPr>
          </w:p>
        </w:tc>
      </w:tr>
    </w:tbl>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Inquiries:</w:t>
      </w:r>
    </w:p>
    <w:p>
      <w:pPr>
        <w:spacing w:after="0" w:line="203" w:lineRule="auto"/>
        <w:rPr>
          <w:sz w:val="20"/>
          <w:szCs w:val="20"/>
          <w:color w:val="auto"/>
        </w:rPr>
      </w:pPr>
      <w:r>
        <w:rPr>
          <w:rFonts w:ascii="Arial" w:cs="Arial" w:eastAsia="Arial" w:hAnsi="Arial"/>
          <w:sz w:val="18"/>
          <w:szCs w:val="18"/>
          <w:color w:val="auto"/>
        </w:rPr>
        <w:t>Mike Piccinino, CFA</w:t>
      </w:r>
    </w:p>
    <w:p>
      <w:pPr>
        <w:spacing w:after="0" w:line="204" w:lineRule="auto"/>
        <w:rPr>
          <w:sz w:val="20"/>
          <w:szCs w:val="20"/>
          <w:color w:val="auto"/>
        </w:rPr>
      </w:pPr>
      <w:r>
        <w:rPr>
          <w:rFonts w:ascii="Arial" w:cs="Arial" w:eastAsia="Arial" w:hAnsi="Arial"/>
          <w:sz w:val="18"/>
          <w:szCs w:val="18"/>
          <w:color w:val="auto"/>
        </w:rPr>
        <w:t>Managing Director</w:t>
      </w:r>
    </w:p>
    <w:p>
      <w:pPr>
        <w:spacing w:after="0" w:line="203" w:lineRule="auto"/>
        <w:rPr>
          <w:sz w:val="20"/>
          <w:szCs w:val="20"/>
          <w:color w:val="auto"/>
        </w:rPr>
      </w:pPr>
      <w:r>
        <w:rPr>
          <w:rFonts w:ascii="Arial" w:cs="Arial" w:eastAsia="Arial" w:hAnsi="Arial"/>
          <w:sz w:val="18"/>
          <w:szCs w:val="18"/>
          <w:color w:val="auto"/>
        </w:rPr>
        <w:t>Westwicke Partners</w:t>
      </w:r>
    </w:p>
    <w:p>
      <w:pPr>
        <w:spacing w:after="0" w:line="219" w:lineRule="auto"/>
        <w:rPr>
          <w:sz w:val="20"/>
          <w:szCs w:val="20"/>
          <w:color w:val="auto"/>
        </w:rPr>
      </w:pPr>
      <w:r>
        <w:rPr>
          <w:rFonts w:ascii="Arial" w:cs="Arial" w:eastAsia="Arial" w:hAnsi="Arial"/>
          <w:sz w:val="18"/>
          <w:szCs w:val="18"/>
          <w:color w:val="auto"/>
        </w:rPr>
        <w:t>443-213-0500</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48"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o"/>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2019-12-28T08:50:08Z</dcterms:created>
  <dcterms:modified xsi:type="dcterms:W3CDTF">2019-12-28T08:50:08Z</dcterms:modified>
</cp:coreProperties>
</file>