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  <w:w w:val="99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9"/>
                </w:rPr>
                <w:t>SODERBERG PETER H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80" w:type="dxa"/>
            <w:vAlign w:val="bottom"/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6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2060" w:type="dxa"/>
            <w:vAlign w:val="bottom"/>
            <w:gridSpan w:val="2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060" w:type="dxa"/>
            <w:vAlign w:val="bottom"/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Common Stock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03/31/2020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40.16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12,687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Worthy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Common 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2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236,450</w:t>
            </w:r>
          </w:p>
        </w:tc>
        <w:tc>
          <w:tcPr>
            <w:tcW w:w="9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Venture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Resources,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color w:val="0000FF"/>
                <w:vertAlign w:val="subscript"/>
              </w:rPr>
              <w:t>LLC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-1903095</wp:posOffset>
            </wp:positionV>
            <wp:extent cx="7031355" cy="3681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368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32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 March 31, 2020, the reporting person was granted 280 restricted stock units ("RSUs") in lieu of cash compensation of $11,250.00 pursuant to Tactile Systems Technology, Inc.'s Non-Employee Director Compensation Policy. The RSUs are 100% immediately vested and will be settled in Company's common stock upon the earlier of Mr. Soderberg's separation from service from the Company's Board of Directors or a Change in Control as defined in the Policy.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securities held by Worthy Venture Resources, LLC. The reporting person is the manager of Worthy Venture Resources, LLC.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Jonathan R. Zimmerman,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192977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2020-04-02T15:49:23Z</dcterms:created>
  <dcterms:modified xsi:type="dcterms:W3CDTF">2020-04-02T15:49:23Z</dcterms:modified>
</cp:coreProperties>
</file>