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6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REUVERS DANIEL L.</w:t>
              </w:r>
            </w:hyperlink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2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3701 WAYZATA BLVD.</w:t>
            </w:r>
          </w:p>
        </w:tc>
        <w:tc>
          <w:tcPr>
            <w:tcW w:w="3900" w:type="dxa"/>
            <w:vAlign w:val="bottom"/>
          </w:tcPr>
          <w:p>
            <w:pPr>
              <w:ind w:left="104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00" w:type="dxa"/>
            <w:vAlign w:val="bottom"/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08/08/2022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SUITE 300</w:t>
            </w:r>
          </w:p>
        </w:tc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 and CEO</w:t>
      </w:r>
    </w:p>
    <w:p>
      <w:pPr>
        <w:spacing w:after="0" w:line="42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55416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6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08/08/2022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1,020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9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9.1801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74,707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4"/>
              </w:rPr>
              <w:t>1. The shares were sold to cover taxes associated with the settlement of stock units.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Jonathan Zimmerman,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08/10/2022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-2499995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563602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2022-08-10T16:56:12Z</dcterms:created>
  <dcterms:modified xsi:type="dcterms:W3CDTF">2022-08-10T16:56:12Z</dcterms:modified>
</cp:coreProperties>
</file>