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restart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8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8"/>
                </w:rPr>
                <w:t>Rishe Bryan</w:t>
              </w:r>
            </w:hyperlink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>TACTILE SYSTEMS TECHNOLOGY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restart"/>
          </w:tcPr>
          <w:p>
            <w:pPr>
              <w:spacing w:after="0" w:line="223" w:lineRule="exact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INC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[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17"/>
                  <w:szCs w:val="17"/>
                  <w:color w:val="0000FF"/>
                </w:rPr>
                <w:t>TCMD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 xml:space="preserve"> </w:t>
              </w:r>
              <w:r>
                <w:rPr>
                  <w:rFonts w:ascii="Arial" w:cs="Arial" w:eastAsia="Arial" w:hAnsi="Arial"/>
                  <w:sz w:val="22"/>
                  <w:szCs w:val="22"/>
                  <w:color w:val="000000"/>
                </w:rPr>
                <w:t>]</w:t>
              </w:r>
            </w:hyperlink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3. Date of Earliest Transaction (Month/Day/Year)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8"/>
              </w:rPr>
              <w:t>Vice President, Sales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1331 TYLER STREET NE, SUITE 200</w:t>
            </w:r>
          </w:p>
        </w:tc>
        <w:tc>
          <w:tcPr>
            <w:tcW w:w="164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05/03/2017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MINNEAPOLIS MN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55413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4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20"/>
          </w:tcPr>
          <w:p>
            <w:pPr>
              <w:jc w:val="center"/>
              <w:ind w:lef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7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6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05/03/2017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1,500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18.62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102,722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3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left="8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6"/>
          </w:tcPr>
          <w:p>
            <w:pPr>
              <w:jc w:val="center"/>
              <w:ind w:left="5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4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5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Sales effected pursuant to a Rule 10b5-1 trading plan adopted by the reporting person on March 2, 2017.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/s/ Jonathan R. Zimmerman,</w:t>
            </w:r>
          </w:p>
        </w:tc>
        <w:tc>
          <w:tcPr>
            <w:tcW w:w="96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05/05/2017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Attorney-in-Fact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649328" TargetMode="External"/><Relationship Id="rId13" Type="http://schemas.openxmlformats.org/officeDocument/2006/relationships/hyperlink" Target="http://www.sec.gov/cgi-bin/browse-edgar?action=getcompany&amp;CIK=000102783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2019-12-03T23:54:12Z</dcterms:created>
  <dcterms:modified xsi:type="dcterms:W3CDTF">2019-12-03T23:54:12Z</dcterms:modified>
</cp:coreProperties>
</file>