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u w:val="single" w:color="auto"/>
                <w:color w:val="0000EE"/>
                <w:w w:val="91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  <w:w w:val="91"/>
                </w:rPr>
                <w:t>Pegus Cheryl</w:t>
              </w:r>
            </w:hyperlink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TACTILE SYSTEMS TECHNOLOGY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0000EE"/>
            </w:tcBorders>
            <w:gridSpan w:val="2"/>
            <w:vMerge w:val="restart"/>
          </w:tcPr>
          <w:p>
            <w:pPr>
              <w:spacing w:after="0" w:line="220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]</w:t>
              </w:r>
            </w:hyperlink>
          </w:p>
        </w:tc>
        <w:tc>
          <w:tcPr>
            <w:tcW w:w="36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3701 WAYZATA BLVD.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4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05/04/2020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SUITE 300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9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00" w:type="dxa"/>
            <w:vAlign w:val="bottom"/>
            <w:gridSpan w:val="1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gridSpan w:val="6"/>
          </w:tcPr>
          <w:p>
            <w:pPr>
              <w:ind w:left="16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11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MINNEAPOLIS MN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55416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gridSpan w:val="10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3140" w:type="dxa"/>
            <w:vAlign w:val="bottom"/>
            <w:gridSpan w:val="1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05/04/2020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2,672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9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9,131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580" w:type="dxa"/>
            <w:vAlign w:val="bottom"/>
            <w:gridSpan w:val="2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6"/>
              </w:rPr>
              <w:t>1. The restricted stock units will vest in full on the earlier of one year from the grant date or the date of the next year's annual meeting of the stockholders.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2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/s/ Jonathan R. Zimmerman,</w:t>
            </w:r>
          </w:p>
        </w:tc>
        <w:tc>
          <w:tcPr>
            <w:tcW w:w="1660" w:type="dxa"/>
            <w:vAlign w:val="bottom"/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05/06/2020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Attorney-in-Fact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2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160" w:type="dxa"/>
            <w:vAlign w:val="bottom"/>
            <w:gridSpan w:val="1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-3874770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572448" TargetMode="External"/><Relationship Id="rId14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2020-05-06T15:32:52Z</dcterms:created>
  <dcterms:modified xsi:type="dcterms:W3CDTF">2020-05-06T15:32:52Z</dcterms:modified>
</cp:coreProperties>
</file>