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-648970</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2564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25640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3"/>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2780" w:type="dxa"/>
            <w:vAlign w:val="bottom"/>
            <w:gridSpan w:val="2"/>
            <w:vMerge w:val="restart"/>
          </w:tcPr>
          <w:p>
            <w:pPr>
              <w:spacing w:after="0" w:line="256" w:lineRule="exact"/>
              <w:rPr>
                <w:rFonts w:ascii="Arial" w:cs="Arial" w:eastAsia="Arial" w:hAnsi="Arial"/>
                <w:sz w:val="24"/>
                <w:szCs w:val="24"/>
                <w:color w:val="0000EE"/>
              </w:rPr>
            </w:pPr>
            <w:hyperlink r:id="rId10">
              <w:r>
                <w:rPr>
                  <w:rFonts w:ascii="Arial" w:cs="Arial" w:eastAsia="Arial" w:hAnsi="Arial"/>
                  <w:sz w:val="24"/>
                  <w:szCs w:val="24"/>
                  <w:color w:val="0000EE"/>
                </w:rPr>
                <w:t>Asbury Valerie L.</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2780" w:type="dxa"/>
            <w:vAlign w:val="bottom"/>
            <w:gridSpan w:val="2"/>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1700" w:type="dxa"/>
            <w:vAlign w:val="bottom"/>
            <w:tcBorders>
              <w:top w:val="single" w:sz="8" w:color="0000EE"/>
              <w:bottom w:val="single" w:sz="8" w:color="9A9A9A"/>
            </w:tcBorders>
          </w:tcPr>
          <w:p>
            <w:pPr>
              <w:spacing w:after="0"/>
              <w:rPr>
                <w:sz w:val="17"/>
                <w:szCs w:val="17"/>
                <w:color w:val="auto"/>
              </w:rPr>
            </w:pPr>
          </w:p>
        </w:tc>
        <w:tc>
          <w:tcPr>
            <w:tcW w:w="1080" w:type="dxa"/>
            <w:vAlign w:val="bottom"/>
            <w:tcBorders>
              <w:bottom w:val="single" w:sz="8" w:color="9A9A9A"/>
            </w:tcBorders>
          </w:tcPr>
          <w:p>
            <w:pPr>
              <w:spacing w:after="0"/>
              <w:rPr>
                <w:sz w:val="17"/>
                <w:szCs w:val="17"/>
                <w:color w:val="auto"/>
              </w:rPr>
            </w:pPr>
          </w:p>
        </w:tc>
        <w:tc>
          <w:tcPr>
            <w:tcW w:w="28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Arial" w:cs="Arial" w:eastAsia="Arial" w:hAnsi="Arial"/>
                <w:sz w:val="20"/>
                <w:szCs w:val="20"/>
                <w:color w:val="0000FF"/>
              </w:rPr>
              <w:t>01/05/2022</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3"/>
          <w:szCs w:val="23"/>
          <w:color w:val="0000EE"/>
        </w:rPr>
      </w:pPr>
      <w:hyperlink r:id="rId11">
        <w:r>
          <w:rPr>
            <w:rFonts w:ascii="Arial" w:cs="Arial" w:eastAsia="Arial" w:hAnsi="Arial"/>
            <w:sz w:val="23"/>
            <w:szCs w:val="23"/>
            <w:u w:val="single" w:color="auto"/>
            <w:color w:val="0000EE"/>
          </w:rPr>
          <w:t>TACTILE SYSTEMS TECHNOLOGY INC</w:t>
        </w:r>
        <w:r>
          <w:rPr>
            <w:rFonts w:ascii="Arial" w:cs="Arial" w:eastAsia="Arial" w:hAnsi="Arial"/>
            <w:sz w:val="23"/>
            <w:szCs w:val="23"/>
            <w:color w:val="0000EE"/>
          </w:rPr>
          <w:t xml:space="preserve"> </w:t>
        </w:r>
      </w:hyperlink>
      <w:r>
        <w:rPr>
          <w:rFonts w:ascii="Arial" w:cs="Arial" w:eastAsia="Arial" w:hAnsi="Arial"/>
          <w:sz w:val="23"/>
          <w:szCs w:val="23"/>
          <w:color w:val="000000"/>
        </w:rPr>
        <w:t>[</w:t>
      </w:r>
      <w:r>
        <w:rPr>
          <w:rFonts w:ascii="Arial" w:cs="Arial" w:eastAsia="Arial" w:hAnsi="Arial"/>
          <w:sz w:val="23"/>
          <w:szCs w:val="23"/>
          <w:color w:val="0000EE"/>
        </w:rPr>
        <w:t xml:space="preserve"> </w:t>
      </w:r>
      <w:r>
        <w:rPr>
          <w:rFonts w:ascii="Arial" w:cs="Arial" w:eastAsia="Arial" w:hAnsi="Arial"/>
          <w:sz w:val="18"/>
          <w:szCs w:val="18"/>
          <w:color w:val="0000FF"/>
        </w:rPr>
        <w:t>TCMD</w:t>
      </w:r>
      <w:r>
        <w:rPr>
          <w:rFonts w:ascii="Arial" w:cs="Arial" w:eastAsia="Arial" w:hAnsi="Arial"/>
          <w:sz w:val="23"/>
          <w:szCs w:val="23"/>
          <w:color w:val="0000EE"/>
        </w:rPr>
        <w:t xml:space="preserve"> </w:t>
      </w:r>
      <w:r>
        <w:rPr>
          <w:rFonts w:ascii="Arial" w:cs="Arial" w:eastAsia="Arial" w:hAnsi="Arial"/>
          <w:sz w:val="23"/>
          <w:szCs w:val="23"/>
          <w:color w:val="000000"/>
        </w:rPr>
        <w:t>]</w:t>
      </w:r>
    </w:p>
    <w:p>
      <w:pPr>
        <w:spacing w:after="0" w:line="353"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05"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3701 WAYZATA BLVD.</w:t>
      </w:r>
    </w:p>
    <w:p>
      <w:pPr>
        <w:spacing w:after="0" w:line="70"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SUITE 300</w:t>
      </w:r>
    </w:p>
    <w:p>
      <w:pPr>
        <w:spacing w:after="0" w:line="334"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2000" w:type="dxa"/>
            <w:vAlign w:val="bottom"/>
          </w:tcPr>
          <w:p>
            <w:pPr>
              <w:spacing w:after="0"/>
              <w:rPr>
                <w:sz w:val="20"/>
                <w:szCs w:val="20"/>
                <w:color w:val="auto"/>
              </w:rPr>
            </w:pPr>
            <w:r>
              <w:rPr>
                <w:rFonts w:ascii="Arial" w:cs="Arial" w:eastAsia="Arial" w:hAnsi="Arial"/>
                <w:sz w:val="15"/>
                <w:szCs w:val="15"/>
                <w:color w:val="auto"/>
              </w:rPr>
              <w:t>(Street)</w:t>
            </w:r>
          </w:p>
        </w:tc>
        <w:tc>
          <w:tcPr>
            <w:tcW w:w="720" w:type="dxa"/>
            <w:vAlign w:val="bottom"/>
          </w:tcPr>
          <w:p>
            <w:pPr>
              <w:spacing w:after="0"/>
              <w:rPr>
                <w:sz w:val="15"/>
                <w:szCs w:val="15"/>
                <w:color w:val="auto"/>
              </w:rPr>
            </w:pPr>
          </w:p>
        </w:tc>
      </w:tr>
      <w:tr>
        <w:trPr>
          <w:trHeight w:val="269"/>
        </w:trPr>
        <w:tc>
          <w:tcPr>
            <w:tcW w:w="2000" w:type="dxa"/>
            <w:vAlign w:val="bottom"/>
          </w:tcPr>
          <w:p>
            <w:pPr>
              <w:ind w:left="40"/>
              <w:spacing w:after="0"/>
              <w:rPr>
                <w:sz w:val="20"/>
                <w:szCs w:val="20"/>
                <w:color w:val="auto"/>
              </w:rPr>
            </w:pPr>
            <w:r>
              <w:rPr>
                <w:rFonts w:ascii="Arial" w:cs="Arial" w:eastAsia="Arial" w:hAnsi="Arial"/>
                <w:sz w:val="20"/>
                <w:szCs w:val="20"/>
                <w:color w:val="0000FF"/>
              </w:rPr>
              <w:t>MINNEAPOLIS MN</w:t>
            </w:r>
          </w:p>
        </w:tc>
        <w:tc>
          <w:tcPr>
            <w:tcW w:w="720" w:type="dxa"/>
            <w:vAlign w:val="bottom"/>
          </w:tcPr>
          <w:p>
            <w:pPr>
              <w:jc w:val="right"/>
              <w:spacing w:after="0"/>
              <w:rPr>
                <w:sz w:val="20"/>
                <w:szCs w:val="20"/>
                <w:color w:val="auto"/>
              </w:rPr>
            </w:pPr>
            <w:r>
              <w:rPr>
                <w:rFonts w:ascii="Arial" w:cs="Arial" w:eastAsia="Arial" w:hAnsi="Arial"/>
                <w:sz w:val="20"/>
                <w:szCs w:val="20"/>
                <w:color w:val="0000FF"/>
              </w:rPr>
              <w:t>55416</w:t>
            </w:r>
          </w:p>
        </w:tc>
      </w:tr>
    </w:tbl>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ind w:left="183"/>
        <w:spacing w:after="0"/>
        <w:tabs>
          <w:tab w:leader="none" w:pos="502" w:val="left"/>
          <w:tab w:leader="none" w:pos="2042" w:val="left"/>
        </w:tabs>
        <w:rPr>
          <w:sz w:val="20"/>
          <w:szCs w:val="20"/>
          <w:color w:val="auto"/>
        </w:rPr>
      </w:pPr>
      <w:r>
        <w:rPr>
          <w:rFonts w:ascii="Arial" w:cs="Arial" w:eastAsia="Arial" w:hAnsi="Arial"/>
          <w:sz w:val="20"/>
          <w:szCs w:val="20"/>
          <w:color w:val="0000FF"/>
        </w:rPr>
        <w:t>X</w:t>
      </w:r>
      <w:r>
        <w:rPr>
          <w:sz w:val="20"/>
          <w:szCs w:val="20"/>
          <w:color w:val="auto"/>
        </w:rPr>
        <w:tab/>
      </w: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10% Owner</w:t>
      </w:r>
    </w:p>
    <w:p>
      <w:pPr>
        <w:spacing w:after="0" w:line="122"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301"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4"/>
          <w:szCs w:val="24"/>
          <w:color w:val="auto"/>
        </w:rPr>
      </w:pPr>
    </w:p>
    <w:p>
      <w:pPr>
        <w:ind w:left="451" w:right="340" w:hanging="304"/>
        <w:spacing w:after="0" w:line="184" w:lineRule="auto"/>
        <w:tabs>
          <w:tab w:leader="none" w:pos="451" w:val="left"/>
        </w:tabs>
        <w:numPr>
          <w:ilvl w:val="0"/>
          <w:numId w:val="3"/>
        </w:numPr>
        <w:rPr>
          <w:rFonts w:ascii="Arial" w:cs="Arial" w:eastAsia="Arial" w:hAnsi="Arial"/>
          <w:sz w:val="27"/>
          <w:szCs w:val="27"/>
          <w:color w:val="0000FF"/>
          <w:vertAlign w:val="subscript"/>
        </w:rPr>
      </w:pPr>
      <w:r>
        <w:rPr>
          <w:rFonts w:ascii="Arial" w:cs="Arial" w:eastAsia="Arial" w:hAnsi="Arial"/>
          <w:sz w:val="12"/>
          <w:szCs w:val="12"/>
          <w:color w:val="auto"/>
        </w:rPr>
        <w:t>Form filed by One Reporting Person</w:t>
      </w:r>
    </w:p>
    <w:p>
      <w:pPr>
        <w:spacing w:after="0" w:line="46" w:lineRule="exact"/>
        <w:rPr>
          <w:rFonts w:ascii="Arial" w:cs="Arial" w:eastAsia="Arial" w:hAnsi="Arial"/>
          <w:sz w:val="27"/>
          <w:szCs w:val="27"/>
          <w:color w:val="0000FF"/>
          <w:vertAlign w:val="subscript"/>
        </w:rPr>
      </w:pPr>
    </w:p>
    <w:p>
      <w:pPr>
        <w:ind w:left="451" w:right="320"/>
        <w:spacing w:after="0" w:line="239" w:lineRule="auto"/>
        <w:rPr>
          <w:rFonts w:ascii="Arial" w:cs="Arial" w:eastAsia="Arial" w:hAnsi="Arial"/>
          <w:sz w:val="27"/>
          <w:szCs w:val="27"/>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6" w:right="479" w:bottom="1440" w:gutter="0" w:footer="0" w:header="0"/>
          <w:type w:val="continuous"/>
        </w:sectPr>
      </w:pPr>
    </w:p>
    <w:p>
      <w:pPr>
        <w:spacing w:after="0" w:line="72"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81"/>
        </w:trPr>
        <w:tc>
          <w:tcPr>
            <w:tcW w:w="20" w:type="dxa"/>
            <w:vAlign w:val="bottom"/>
            <w:tcBorders>
              <w:bottom w:val="single" w:sz="8" w:color="2C2C2C"/>
            </w:tcBorders>
          </w:tcPr>
          <w:p>
            <w:pPr>
              <w:spacing w:after="0"/>
              <w:rPr>
                <w:sz w:val="6"/>
                <w:szCs w:val="6"/>
                <w:color w:val="auto"/>
              </w:rPr>
            </w:pPr>
          </w:p>
        </w:tc>
        <w:tc>
          <w:tcPr>
            <w:tcW w:w="3420" w:type="dxa"/>
            <w:vAlign w:val="bottom"/>
            <w:tcBorders>
              <w:bottom w:val="single" w:sz="8" w:color="2C2C2C"/>
            </w:tcBorders>
          </w:tcPr>
          <w:p>
            <w:pPr>
              <w:spacing w:after="0"/>
              <w:rPr>
                <w:sz w:val="6"/>
                <w:szCs w:val="6"/>
                <w:color w:val="auto"/>
              </w:rPr>
            </w:pPr>
          </w:p>
        </w:tc>
        <w:tc>
          <w:tcPr>
            <w:tcW w:w="3400" w:type="dxa"/>
            <w:vAlign w:val="bottom"/>
            <w:tcBorders>
              <w:bottom w:val="single" w:sz="8" w:color="2C2C2C"/>
            </w:tcBorders>
          </w:tcPr>
          <w:p>
            <w:pPr>
              <w:spacing w:after="0"/>
              <w:rPr>
                <w:sz w:val="6"/>
                <w:szCs w:val="6"/>
                <w:color w:val="auto"/>
              </w:rPr>
            </w:pPr>
          </w:p>
        </w:tc>
        <w:tc>
          <w:tcPr>
            <w:tcW w:w="1220" w:type="dxa"/>
            <w:vAlign w:val="bottom"/>
            <w:tcBorders>
              <w:bottom w:val="single" w:sz="8" w:color="2C2C2C"/>
            </w:tcBorders>
          </w:tcPr>
          <w:p>
            <w:pPr>
              <w:spacing w:after="0"/>
              <w:rPr>
                <w:sz w:val="6"/>
                <w:szCs w:val="6"/>
                <w:color w:val="auto"/>
              </w:rPr>
            </w:pPr>
          </w:p>
        </w:tc>
        <w:tc>
          <w:tcPr>
            <w:tcW w:w="28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16"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3040" w:type="dxa"/>
            <w:vAlign w:val="bottom"/>
          </w:tcPr>
          <w:p>
            <w:pPr>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36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w w:val="97"/>
              </w:rPr>
              <w:t>Indirect Beneficial</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2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30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4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36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56"/>
        </w:trPr>
        <w:tc>
          <w:tcPr>
            <w:tcW w:w="304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240" w:type="dxa"/>
            <w:vAlign w:val="bottom"/>
            <w:vMerge w:val="restart"/>
          </w:tcPr>
          <w:p>
            <w:pPr>
              <w:ind w:left="60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3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30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40" w:type="dxa"/>
            <w:vAlign w:val="bottom"/>
            <w:vMerge w:val="continue"/>
          </w:tcPr>
          <w:p>
            <w:pPr>
              <w:spacing w:after="0"/>
              <w:rPr>
                <w:sz w:val="13"/>
                <w:szCs w:val="13"/>
                <w:color w:val="auto"/>
              </w:rPr>
            </w:pPr>
          </w:p>
        </w:tc>
        <w:tc>
          <w:tcPr>
            <w:tcW w:w="98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1"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304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2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240" w:type="dxa"/>
            <w:vAlign w:val="bottom"/>
          </w:tcPr>
          <w:p>
            <w:pPr>
              <w:ind w:left="60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02"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1"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65" w:lineRule="exact"/>
        <w:rPr>
          <w:sz w:val="24"/>
          <w:szCs w:val="24"/>
          <w:color w:val="auto"/>
        </w:rPr>
      </w:pPr>
    </w:p>
    <w:p>
      <w:pPr>
        <w:ind w:left="40"/>
        <w:spacing w:after="0"/>
        <w:rPr>
          <w:sz w:val="20"/>
          <w:szCs w:val="20"/>
          <w:color w:val="auto"/>
        </w:rPr>
      </w:pPr>
      <w:r>
        <w:rPr>
          <w:rFonts w:ascii="Arial" w:cs="Arial" w:eastAsia="Arial" w:hAnsi="Arial"/>
          <w:sz w:val="15"/>
          <w:szCs w:val="15"/>
          <w:color w:val="008000"/>
        </w:rPr>
        <w:t>No securities beneficially owned. Exhibit List: Exhibit 24-Power of Attorney</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No securities are beneficially owned.</w:t>
      </w:r>
    </w:p>
    <w:p>
      <w:pPr>
        <w:spacing w:after="0" w:line="66" w:lineRule="exact"/>
        <w:rPr>
          <w:sz w:val="24"/>
          <w:szCs w:val="24"/>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2180" w:type="dxa"/>
            <w:vAlign w:val="bottom"/>
            <w:gridSpan w:val="3"/>
          </w:tcPr>
          <w:p>
            <w:pPr>
              <w:spacing w:after="0"/>
              <w:rPr>
                <w:sz w:val="20"/>
                <w:szCs w:val="20"/>
                <w:color w:val="auto"/>
              </w:rPr>
            </w:pPr>
            <w:r>
              <w:rPr>
                <w:rFonts w:ascii="Arial" w:cs="Arial" w:eastAsia="Arial" w:hAnsi="Arial"/>
                <w:sz w:val="20"/>
                <w:szCs w:val="20"/>
                <w:color w:val="0000FF"/>
                <w:w w:val="95"/>
              </w:rPr>
              <w:t>/s/ Jonathan Zimmerman,</w:t>
            </w:r>
          </w:p>
        </w:tc>
        <w:tc>
          <w:tcPr>
            <w:tcW w:w="900" w:type="dxa"/>
            <w:vAlign w:val="bottom"/>
            <w:vMerge w:val="restart"/>
          </w:tcPr>
          <w:p>
            <w:pPr>
              <w:spacing w:after="0"/>
              <w:rPr>
                <w:sz w:val="20"/>
                <w:szCs w:val="20"/>
                <w:color w:val="auto"/>
              </w:rPr>
            </w:pPr>
            <w:r>
              <w:rPr>
                <w:rFonts w:ascii="Arial" w:cs="Arial" w:eastAsia="Arial" w:hAnsi="Arial"/>
                <w:sz w:val="20"/>
                <w:szCs w:val="20"/>
                <w:color w:val="0000FF"/>
                <w:w w:val="87"/>
              </w:rPr>
              <w:t>01/12/2022</w:t>
            </w: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1980" w:type="dxa"/>
            <w:vAlign w:val="bottom"/>
            <w:tcBorders>
              <w:top w:val="single" w:sz="8" w:color="auto"/>
              <w:bottom w:val="single" w:sz="8" w:color="auto"/>
            </w:tcBorders>
            <w:gridSpan w:val="2"/>
            <w:vMerge w:val="restart"/>
          </w:tcPr>
          <w:p>
            <w:pPr>
              <w:spacing w:after="0" w:line="220" w:lineRule="exact"/>
              <w:rPr>
                <w:sz w:val="20"/>
                <w:szCs w:val="20"/>
                <w:color w:val="auto"/>
              </w:rPr>
            </w:pPr>
            <w:r>
              <w:rPr>
                <w:rFonts w:ascii="Arial" w:cs="Arial" w:eastAsia="Arial" w:hAnsi="Arial"/>
                <w:sz w:val="20"/>
                <w:szCs w:val="20"/>
                <w:color w:val="0000FF"/>
              </w:rPr>
              <w:t>Attorney-in-Fact</w:t>
            </w:r>
          </w:p>
        </w:tc>
        <w:tc>
          <w:tcPr>
            <w:tcW w:w="200" w:type="dxa"/>
            <w:vAlign w:val="bottom"/>
            <w:vMerge w:val="restart"/>
          </w:tcPr>
          <w:p>
            <w:pPr>
              <w:spacing w:after="0"/>
              <w:rPr>
                <w:sz w:val="8"/>
                <w:szCs w:val="8"/>
                <w:color w:val="auto"/>
              </w:rPr>
            </w:pPr>
          </w:p>
        </w:tc>
        <w:tc>
          <w:tcPr>
            <w:tcW w:w="90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6540" w:type="dxa"/>
            <w:vAlign w:val="bottom"/>
          </w:tcPr>
          <w:p>
            <w:pPr>
              <w:spacing w:after="0"/>
              <w:rPr>
                <w:sz w:val="8"/>
                <w:szCs w:val="8"/>
                <w:color w:val="auto"/>
              </w:rPr>
            </w:pPr>
          </w:p>
        </w:tc>
        <w:tc>
          <w:tcPr>
            <w:tcW w:w="1980" w:type="dxa"/>
            <w:vAlign w:val="bottom"/>
            <w:gridSpan w:val="2"/>
            <w:vMerge w:val="continue"/>
          </w:tcPr>
          <w:p>
            <w:pPr>
              <w:spacing w:after="0"/>
              <w:rPr>
                <w:sz w:val="8"/>
                <w:szCs w:val="8"/>
                <w:color w:val="auto"/>
              </w:rPr>
            </w:pPr>
          </w:p>
        </w:tc>
        <w:tc>
          <w:tcPr>
            <w:tcW w:w="2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88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6540" w:type="dxa"/>
            <w:vAlign w:val="bottom"/>
          </w:tcPr>
          <w:p>
            <w:pPr>
              <w:spacing w:after="0"/>
              <w:rPr>
                <w:sz w:val="21"/>
                <w:szCs w:val="21"/>
                <w:color w:val="auto"/>
              </w:rPr>
            </w:pPr>
          </w:p>
        </w:tc>
        <w:tc>
          <w:tcPr>
            <w:tcW w:w="218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6"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POWER OF ATTORNEY</w:t>
      </w:r>
    </w:p>
    <w:p>
      <w:pPr>
        <w:spacing w:after="0" w:line="238" w:lineRule="auto"/>
        <w:rPr>
          <w:sz w:val="20"/>
          <w:szCs w:val="20"/>
          <w:color w:val="auto"/>
        </w:rPr>
      </w:pPr>
      <w:r>
        <w:rPr>
          <w:rFonts w:ascii="Courier New" w:cs="Courier New" w:eastAsia="Courier New" w:hAnsi="Courier New"/>
          <w:sz w:val="20"/>
          <w:szCs w:val="20"/>
          <w:color w:val="auto"/>
        </w:rPr>
        <w:t>EX-24</w:t>
      </w:r>
    </w:p>
    <w:p>
      <w:pPr>
        <w:spacing w:after="0" w:line="238" w:lineRule="auto"/>
        <w:rPr>
          <w:sz w:val="20"/>
          <w:szCs w:val="20"/>
          <w:color w:val="auto"/>
        </w:rPr>
      </w:pPr>
      <w:r>
        <w:rPr>
          <w:rFonts w:ascii="Courier New" w:cs="Courier New" w:eastAsia="Courier New" w:hAnsi="Courier New"/>
          <w:sz w:val="20"/>
          <w:szCs w:val="20"/>
          <w:color w:val="auto"/>
        </w:rPr>
        <w:t>For Executing Forms 144, Forms 3, 4, 5 and Form ID</w:t>
      </w:r>
    </w:p>
    <w:p>
      <w:pPr>
        <w:spacing w:after="0" w:line="231" w:lineRule="exact"/>
        <w:rPr>
          <w:sz w:val="20"/>
          <w:szCs w:val="20"/>
          <w:color w:val="auto"/>
        </w:rPr>
      </w:pPr>
    </w:p>
    <w:p>
      <w:pPr>
        <w:ind w:right="3079"/>
        <w:spacing w:after="0" w:line="236" w:lineRule="auto"/>
        <w:rPr>
          <w:sz w:val="20"/>
          <w:szCs w:val="20"/>
          <w:color w:val="auto"/>
        </w:rPr>
      </w:pPr>
      <w:r>
        <w:rPr>
          <w:rFonts w:ascii="Courier New" w:cs="Courier New" w:eastAsia="Courier New" w:hAnsi="Courier New"/>
          <w:sz w:val="20"/>
          <w:szCs w:val="20"/>
          <w:color w:val="auto"/>
        </w:rPr>
        <w:t>The undersigned hereby constitutes and appoints Brent Moen, Jonathan R. Zimmerman,Christine Long, Jason Kise,</w:t>
      </w:r>
    </w:p>
    <w:p>
      <w:pPr>
        <w:spacing w:after="0" w:line="238" w:lineRule="auto"/>
        <w:rPr>
          <w:sz w:val="20"/>
          <w:szCs w:val="20"/>
          <w:color w:val="auto"/>
        </w:rPr>
      </w:pPr>
      <w:r>
        <w:rPr>
          <w:rFonts w:ascii="Courier New" w:cs="Courier New" w:eastAsia="Courier New" w:hAnsi="Courier New"/>
          <w:sz w:val="20"/>
          <w:szCs w:val="20"/>
          <w:color w:val="auto"/>
        </w:rPr>
        <w:t>and Amra Hoso, and each of them, the undersigned's true</w:t>
      </w:r>
    </w:p>
    <w:p>
      <w:pPr>
        <w:spacing w:after="0" w:line="5" w:lineRule="exact"/>
        <w:rPr>
          <w:sz w:val="20"/>
          <w:szCs w:val="20"/>
          <w:color w:val="auto"/>
        </w:rPr>
      </w:pPr>
    </w:p>
    <w:p>
      <w:pPr>
        <w:ind w:right="2379"/>
        <w:spacing w:after="0" w:line="264" w:lineRule="auto"/>
        <w:rPr>
          <w:sz w:val="20"/>
          <w:szCs w:val="20"/>
          <w:color w:val="auto"/>
        </w:rPr>
      </w:pPr>
      <w:r>
        <w:rPr>
          <w:rFonts w:ascii="Courier New" w:cs="Courier New" w:eastAsia="Courier New" w:hAnsi="Courier New"/>
          <w:sz w:val="18"/>
          <w:szCs w:val="18"/>
          <w:color w:val="auto"/>
        </w:rPr>
        <w:t>and lawful attorney-in-fact, for such period of time that the undersigned is required to file reports pursuant to Section 16(a)</w:t>
      </w:r>
    </w:p>
    <w:p>
      <w:pPr>
        <w:spacing w:after="0" w:line="235" w:lineRule="auto"/>
        <w:rPr>
          <w:sz w:val="20"/>
          <w:szCs w:val="20"/>
          <w:color w:val="auto"/>
        </w:rPr>
      </w:pPr>
      <w:r>
        <w:rPr>
          <w:rFonts w:ascii="Courier New" w:cs="Courier New" w:eastAsia="Courier New" w:hAnsi="Courier New"/>
          <w:sz w:val="20"/>
          <w:szCs w:val="20"/>
          <w:color w:val="auto"/>
        </w:rPr>
        <w:t>of the Securities Exchange Act of 1934, as amended (the "Exchange Act"),</w:t>
      </w:r>
    </w:p>
    <w:p>
      <w:pPr>
        <w:spacing w:after="0" w:line="5" w:lineRule="exact"/>
        <w:rPr>
          <w:sz w:val="20"/>
          <w:szCs w:val="20"/>
          <w:color w:val="auto"/>
        </w:rPr>
      </w:pPr>
    </w:p>
    <w:p>
      <w:pPr>
        <w:ind w:right="839"/>
        <w:spacing w:after="0" w:line="236" w:lineRule="auto"/>
        <w:rPr>
          <w:sz w:val="20"/>
          <w:szCs w:val="20"/>
          <w:color w:val="auto"/>
        </w:rPr>
      </w:pPr>
      <w:r>
        <w:rPr>
          <w:rFonts w:ascii="Courier New" w:cs="Courier New" w:eastAsia="Courier New" w:hAnsi="Courier New"/>
          <w:sz w:val="20"/>
          <w:szCs w:val="20"/>
          <w:color w:val="auto"/>
        </w:rPr>
        <w:t>or Rule 14.4 of the Securities Act of 1933, as amended (the "Securities Act"), due to the undersigned's affiliation with Tactile Systems Technology, Inc., a Delaware corporation, unless earlier revoked by the undersigned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in a signed writing delivered to the foregoing attorneys-in-fact, to:</w:t>
      </w:r>
    </w:p>
    <w:p>
      <w:pPr>
        <w:spacing w:after="0" w:line="230" w:lineRule="exact"/>
        <w:rPr>
          <w:sz w:val="20"/>
          <w:szCs w:val="20"/>
          <w:color w:val="auto"/>
        </w:rPr>
      </w:pPr>
    </w:p>
    <w:p>
      <w:pPr>
        <w:jc w:val="both"/>
        <w:ind w:right="3199"/>
        <w:spacing w:after="0" w:line="264" w:lineRule="auto"/>
        <w:tabs>
          <w:tab w:leader="none" w:pos="351"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Forms 144, Forms 3, 4, 5 and Form ID and any amendments to previously</w:t>
      </w:r>
    </w:p>
    <w:p>
      <w:pPr>
        <w:spacing w:after="0" w:line="1" w:lineRule="exact"/>
        <w:rPr>
          <w:rFonts w:ascii="Courier New" w:cs="Courier New" w:eastAsia="Courier New" w:hAnsi="Courier New"/>
          <w:sz w:val="18"/>
          <w:szCs w:val="18"/>
          <w:color w:val="auto"/>
        </w:rPr>
      </w:pPr>
    </w:p>
    <w:p>
      <w:pPr>
        <w:ind w:right="2139"/>
        <w:spacing w:after="0" w:line="236" w:lineRule="auto"/>
        <w:rPr>
          <w:rFonts w:ascii="Courier New" w:cs="Courier New" w:eastAsia="Courier New" w:hAnsi="Courier New"/>
          <w:sz w:val="18"/>
          <w:szCs w:val="18"/>
          <w:color w:val="auto"/>
        </w:rPr>
      </w:pPr>
      <w:r>
        <w:rPr>
          <w:rFonts w:ascii="Courier New" w:cs="Courier New" w:eastAsia="Courier New" w:hAnsi="Courier New"/>
          <w:sz w:val="20"/>
          <w:szCs w:val="20"/>
          <w:color w:val="auto"/>
        </w:rPr>
        <w:t>filed forms in accordance with Section 16(a) of the Exchange Act or Rule 144 of the Securities Act and the rules thereunder;</w:t>
      </w:r>
    </w:p>
    <w:p>
      <w:pPr>
        <w:spacing w:after="0" w:line="229" w:lineRule="exact"/>
        <w:rPr>
          <w:rFonts w:ascii="Courier New" w:cs="Courier New" w:eastAsia="Courier New" w:hAnsi="Courier New"/>
          <w:sz w:val="18"/>
          <w:szCs w:val="18"/>
          <w:color w:val="auto"/>
        </w:rPr>
      </w:pPr>
    </w:p>
    <w:p>
      <w:pPr>
        <w:jc w:val="both"/>
        <w:ind w:right="3079"/>
        <w:spacing w:after="0" w:line="264" w:lineRule="auto"/>
        <w:tabs>
          <w:tab w:leader="none" w:pos="351"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w:t>
      </w:r>
    </w:p>
    <w:p>
      <w:pPr>
        <w:spacing w:after="0" w:line="1" w:lineRule="exact"/>
        <w:rPr>
          <w:rFonts w:ascii="Courier New" w:cs="Courier New" w:eastAsia="Courier New" w:hAnsi="Courier New"/>
          <w:sz w:val="18"/>
          <w:szCs w:val="18"/>
          <w:color w:val="auto"/>
        </w:rPr>
      </w:pPr>
    </w:p>
    <w:p>
      <w:pPr>
        <w:ind w:right="2259"/>
        <w:spacing w:after="0" w:line="264"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the execution of any such Forms 144, Forms 3, 4, 5 and Form ID and the timely filing of such form with the United States Securities</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20"/>
          <w:szCs w:val="20"/>
          <w:color w:val="auto"/>
        </w:rPr>
        <w:t>and Exchange Commission and any other authority as required by law; and</w:t>
      </w:r>
    </w:p>
    <w:p>
      <w:pPr>
        <w:spacing w:after="0" w:line="224" w:lineRule="exact"/>
        <w:rPr>
          <w:rFonts w:ascii="Courier New" w:cs="Courier New" w:eastAsia="Courier New" w:hAnsi="Courier New"/>
          <w:sz w:val="18"/>
          <w:szCs w:val="18"/>
          <w:color w:val="auto"/>
        </w:rPr>
      </w:pPr>
    </w:p>
    <w:p>
      <w:pPr>
        <w:ind w:left="360" w:hanging="360"/>
        <w:spacing w:after="0"/>
        <w:tabs>
          <w:tab w:leader="none" w:pos="360"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take any other action of any type whatsoever in connection</w:t>
      </w:r>
    </w:p>
    <w:p>
      <w:pPr>
        <w:spacing w:after="0" w:line="5" w:lineRule="exact"/>
        <w:rPr>
          <w:sz w:val="20"/>
          <w:szCs w:val="20"/>
          <w:color w:val="auto"/>
        </w:rPr>
      </w:pPr>
    </w:p>
    <w:p>
      <w:pPr>
        <w:ind w:right="2139"/>
        <w:spacing w:after="0" w:line="264" w:lineRule="auto"/>
        <w:rPr>
          <w:sz w:val="20"/>
          <w:szCs w:val="20"/>
          <w:color w:val="auto"/>
        </w:rPr>
      </w:pPr>
      <w:r>
        <w:rPr>
          <w:rFonts w:ascii="Courier New" w:cs="Courier New" w:eastAsia="Courier New" w:hAnsi="Courier New"/>
          <w:sz w:val="18"/>
          <w:szCs w:val="18"/>
          <w:color w:val="auto"/>
        </w:rPr>
        <w:t>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w:t>
      </w:r>
    </w:p>
    <w:p>
      <w:pPr>
        <w:spacing w:after="0" w:line="4" w:lineRule="exact"/>
        <w:rPr>
          <w:sz w:val="20"/>
          <w:szCs w:val="20"/>
          <w:color w:val="auto"/>
        </w:rPr>
      </w:pPr>
    </w:p>
    <w:p>
      <w:pPr>
        <w:ind w:right="3199"/>
        <w:spacing w:after="0" w:line="236" w:lineRule="auto"/>
        <w:rPr>
          <w:sz w:val="20"/>
          <w:szCs w:val="20"/>
          <w:color w:val="auto"/>
        </w:rPr>
      </w:pPr>
      <w:r>
        <w:rPr>
          <w:rFonts w:ascii="Courier New" w:cs="Courier New" w:eastAsia="Courier New" w:hAnsi="Courier New"/>
          <w:sz w:val="20"/>
          <w:szCs w:val="20"/>
          <w:color w:val="auto"/>
        </w:rPr>
        <w:t>contain such terms and conditions as such attorney-in-fact may approve in his discretion.</w:t>
      </w:r>
    </w:p>
    <w:p>
      <w:pPr>
        <w:spacing w:after="0" w:line="230" w:lineRule="exact"/>
        <w:rPr>
          <w:sz w:val="20"/>
          <w:szCs w:val="20"/>
          <w:color w:val="auto"/>
        </w:rPr>
      </w:pPr>
    </w:p>
    <w:p>
      <w:pPr>
        <w:ind w:right="2959"/>
        <w:spacing w:after="0" w:line="264"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all and every act</w:t>
      </w:r>
    </w:p>
    <w:p>
      <w:pPr>
        <w:spacing w:after="0" w:line="2" w:lineRule="exact"/>
        <w:rPr>
          <w:sz w:val="20"/>
          <w:szCs w:val="20"/>
          <w:color w:val="auto"/>
        </w:rPr>
      </w:pPr>
    </w:p>
    <w:p>
      <w:pPr>
        <w:ind w:right="1559"/>
        <w:spacing w:after="0" w:line="237" w:lineRule="auto"/>
        <w:rPr>
          <w:sz w:val="20"/>
          <w:szCs w:val="20"/>
          <w:color w:val="auto"/>
        </w:rPr>
      </w:pPr>
      <w:r>
        <w:rPr>
          <w:rFonts w:ascii="Courier New" w:cs="Courier New" w:eastAsia="Courier New" w:hAnsi="Courier New"/>
          <w:sz w:val="20"/>
          <w:szCs w:val="20"/>
          <w:color w:val="auto"/>
        </w:rPr>
        <w:t>and thing whatsoever requisite, necessary and proper to be done in the exercise of any of the rights and powers herein granted, as fully to all intents and purposes as the undersigned could do if personally present, with full power of substitution or revocation, hereby</w:t>
      </w:r>
    </w:p>
    <w:p>
      <w:pPr>
        <w:spacing w:after="0" w:line="6" w:lineRule="exact"/>
        <w:rPr>
          <w:sz w:val="20"/>
          <w:szCs w:val="20"/>
          <w:color w:val="auto"/>
        </w:rPr>
      </w:pPr>
    </w:p>
    <w:p>
      <w:pPr>
        <w:ind w:right="1319"/>
        <w:spacing w:after="0" w:line="264" w:lineRule="auto"/>
        <w:rPr>
          <w:sz w:val="20"/>
          <w:szCs w:val="20"/>
          <w:color w:val="auto"/>
        </w:rPr>
      </w:pPr>
      <w:r>
        <w:rPr>
          <w:rFonts w:ascii="Courier New" w:cs="Courier New" w:eastAsia="Courier New" w:hAnsi="Courier New"/>
          <w:sz w:val="18"/>
          <w:szCs w:val="18"/>
          <w:color w:val="auto"/>
        </w:rPr>
        <w:t>ratifying and confirming all that such attorney-in-fact, or his or her substitute or substitutes, shall lawfully do or cause to be done by virtue of this Power of Attorney and the rights and powers herein granted.</w:t>
      </w:r>
    </w:p>
    <w:p>
      <w:pPr>
        <w:spacing w:after="0" w:line="2" w:lineRule="exact"/>
        <w:rPr>
          <w:sz w:val="20"/>
          <w:szCs w:val="20"/>
          <w:color w:val="auto"/>
        </w:rPr>
      </w:pPr>
    </w:p>
    <w:p>
      <w:pPr>
        <w:ind w:right="2259"/>
        <w:spacing w:after="0" w:line="264" w:lineRule="auto"/>
        <w:rPr>
          <w:sz w:val="20"/>
          <w:szCs w:val="20"/>
          <w:color w:val="auto"/>
        </w:rPr>
      </w:pPr>
      <w:r>
        <w:rPr>
          <w:rFonts w:ascii="Courier New" w:cs="Courier New" w:eastAsia="Courier New" w:hAnsi="Courier New"/>
          <w:sz w:val="18"/>
          <w:szCs w:val="18"/>
          <w:color w:val="auto"/>
        </w:rPr>
        <w:t>The undersigned acknowledges that the foregoing attorneys-in-fact, in serving in such capacity at the request of the undersigned, are not assuming any of the undersigned's responsibilities to</w:t>
      </w:r>
    </w:p>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comply with Section 16 of the Exchange Act or Rule 144 of the Securities Act.</w:t>
      </w:r>
    </w:p>
    <w:p>
      <w:pPr>
        <w:spacing w:after="0" w:line="246" w:lineRule="exact"/>
        <w:rPr>
          <w:sz w:val="20"/>
          <w:szCs w:val="20"/>
          <w:color w:val="auto"/>
        </w:rPr>
      </w:pPr>
    </w:p>
    <w:p>
      <w:pPr>
        <w:ind w:right="1899"/>
        <w:spacing w:after="0" w:line="236"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this January 3, 2022.</w:t>
      </w: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/s/ Valerie L. Asbury</w:t>
      </w:r>
    </w:p>
    <w:sectPr>
      <w:pgSz w:w="11900" w:h="16838" w:orient="portrait"/>
      <w:cols w:equalWidth="0" w:num="1">
        <w:col w:w="9979"/>
      </w:cols>
      <w:pgMar w:left="48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904264" TargetMode="External"/><Relationship Id="rId11"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2022-01-12T15:34:54Z</dcterms:created>
  <dcterms:modified xsi:type="dcterms:W3CDTF">2022-01-12T15:34:54Z</dcterms:modified>
</cp:coreProperties>
</file>