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2311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23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80" w:type="dxa"/>
            <w:vAlign w:val="bottom"/>
            <w:gridSpan w:val="1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7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7"/>
                </w:rPr>
                <w:t>Folkes Robert J.</w:t>
              </w:r>
            </w:hyperlink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40" w:type="dxa"/>
            <w:vAlign w:val="bottom"/>
            <w:gridSpan w:val="12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gridSpan w:val="7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Director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gridSpan w:val="3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1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restart"/>
          </w:tcPr>
          <w:p>
            <w:pPr>
              <w:ind w:left="2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40" w:type="dxa"/>
            <w:vAlign w:val="bottom"/>
            <w:gridSpan w:val="7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Chief Operating Officer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320" w:type="dxa"/>
            <w:vAlign w:val="bottom"/>
            <w:gridSpan w:val="6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03/04/2019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40" w:type="dxa"/>
            <w:vAlign w:val="bottom"/>
            <w:gridSpan w:val="1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80" w:type="dxa"/>
            <w:vAlign w:val="bottom"/>
            <w:gridSpan w:val="1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8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80" w:type="dxa"/>
            <w:vAlign w:val="bottom"/>
            <w:gridSpan w:val="1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10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Person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24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6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9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6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3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2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03/04/2019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2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2"/>
              </w:rPr>
              <w:t>1,652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2"/>
                <w:vertAlign w:val="superscript"/>
              </w:rPr>
              <w:t>(1)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109,154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24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80" w:type="dxa"/>
            <w:vAlign w:val="bottom"/>
            <w:gridSpan w:val="20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320" w:type="dxa"/>
            <w:vAlign w:val="bottom"/>
            <w:gridSpan w:val="6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7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7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Employee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right"/>
              <w:ind w:right="2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4,175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72.64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ind w:left="2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03/04/2019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4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4,175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6"/>
              </w:rPr>
              <w:t>03/04/2026</w:t>
            </w:r>
          </w:p>
        </w:tc>
        <w:tc>
          <w:tcPr>
            <w:tcW w:w="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2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1"/>
              </w:rPr>
              <w:t>4,175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buy)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700" w:type="dxa"/>
            <w:vAlign w:val="bottom"/>
            <w:gridSpan w:val="2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90"/>
              </w:rPr>
              <w:t>1. The restricted stock units ("RSUs") vest as follows: one-third of the RSUs vest on each of the first three anniversaries of the grant date.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20" w:type="dxa"/>
            <w:vAlign w:val="bottom"/>
            <w:gridSpan w:val="1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8000"/>
                <w:w w:val="88"/>
              </w:rPr>
              <w:t>2. The stock option vests as follows: one-third of the stock option vests on each of the first three anniversaries of the grant date.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/s/ Jonathan R. Zimmerman,</w:t>
            </w:r>
          </w:p>
        </w:tc>
        <w:tc>
          <w:tcPr>
            <w:tcW w:w="92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03/06/2019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</w:tcBorders>
            <w:gridSpan w:val="8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</w:tcBorders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gridSpan w:val="6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60" w:type="dxa"/>
            <w:vAlign w:val="bottom"/>
            <w:gridSpan w:val="1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Reminder: Report on a separate line for each class of securities beneficially owned directly or indirectly.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14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Instruction 4 (b)(v).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7290435</wp:posOffset>
            </wp:positionH>
            <wp:positionV relativeFrom="paragraph">
              <wp:posOffset>-3484880</wp:posOffset>
            </wp:positionV>
            <wp:extent cx="24765" cy="24009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40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649532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2019-12-24T07:17:07Z</dcterms:created>
  <dcterms:modified xsi:type="dcterms:W3CDTF">2019-12-24T07:17:07Z</dcterms:modified>
</cp:coreProperties>
</file>