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8-A</w:t>
      </w:r>
    </w:p>
    <w:p>
      <w:pPr>
        <w:spacing w:after="0" w:line="226" w:lineRule="exact"/>
        <w:rPr>
          <w:sz w:val="24"/>
          <w:szCs w:val="24"/>
          <w:color w:val="auto"/>
        </w:rPr>
      </w:pPr>
    </w:p>
    <w:p>
      <w:pPr>
        <w:jc w:val="center"/>
        <w:ind w:right="40"/>
        <w:spacing w:after="0" w:line="243" w:lineRule="auto"/>
        <w:rPr>
          <w:sz w:val="20"/>
          <w:szCs w:val="20"/>
          <w:color w:val="auto"/>
        </w:rPr>
      </w:pPr>
      <w:r>
        <w:rPr>
          <w:rFonts w:ascii="Arial" w:cs="Arial" w:eastAsia="Arial" w:hAnsi="Arial"/>
          <w:sz w:val="22"/>
          <w:szCs w:val="22"/>
          <w:b w:val="1"/>
          <w:bCs w:val="1"/>
          <w:color w:val="auto"/>
        </w:rPr>
        <w:t>FOR REGISTRATION OF CERTAIN CLASSES OF SECURITIES PURSUANT TO SECTION 12(b) OR 12(g) OF THE SECURITIES EXCHANGE ACT OF 1934</w:t>
      </w:r>
    </w:p>
    <w:p>
      <w:pPr>
        <w:spacing w:after="0" w:line="16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TACTILE SYSTEMS TECHNOLOGY, INC.</w:t>
      </w:r>
    </w:p>
    <w:p>
      <w:pPr>
        <w:spacing w:after="0" w:line="40"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205" w:lineRule="exact"/>
        <w:rPr>
          <w:sz w:val="24"/>
          <w:szCs w:val="24"/>
          <w:color w:val="auto"/>
        </w:rPr>
      </w:pPr>
    </w:p>
    <w:tbl>
      <w:tblPr>
        <w:tblLayout w:type="fixed"/>
        <w:tblInd w:w="0" w:type="dxa"/>
        <w:tblCellMar>
          <w:top w:w="0" w:type="dxa"/>
          <w:left w:w="0" w:type="dxa"/>
          <w:bottom w:w="0" w:type="dxa"/>
          <w:right w:w="0" w:type="dxa"/>
        </w:tblCellMar>
      </w:tblPr>
      <w:tr>
        <w:trPr>
          <w:trHeight w:val="220"/>
        </w:trPr>
        <w:tc>
          <w:tcPr>
            <w:tcW w:w="58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3"/>
              </w:rPr>
              <w:t>Delaware</w:t>
            </w:r>
          </w:p>
        </w:tc>
        <w:tc>
          <w:tcPr>
            <w:tcW w:w="5600" w:type="dxa"/>
            <w:vAlign w:val="bottom"/>
          </w:tcPr>
          <w:p>
            <w:pPr>
              <w:jc w:val="right"/>
              <w:ind w:right="2275"/>
              <w:spacing w:after="0"/>
              <w:rPr>
                <w:sz w:val="20"/>
                <w:szCs w:val="20"/>
                <w:color w:val="auto"/>
              </w:rPr>
            </w:pPr>
            <w:r>
              <w:rPr>
                <w:rFonts w:ascii="Arial" w:cs="Arial" w:eastAsia="Arial" w:hAnsi="Arial"/>
                <w:sz w:val="18"/>
                <w:szCs w:val="18"/>
                <w:b w:val="1"/>
                <w:bCs w:val="1"/>
                <w:color w:val="auto"/>
              </w:rPr>
              <w:t>41-1801204</w:t>
            </w:r>
          </w:p>
        </w:tc>
        <w:tc>
          <w:tcPr>
            <w:tcW w:w="0" w:type="dxa"/>
            <w:vAlign w:val="bottom"/>
          </w:tcPr>
          <w:p>
            <w:pPr>
              <w:spacing w:after="0"/>
              <w:rPr>
                <w:sz w:val="1"/>
                <w:szCs w:val="1"/>
                <w:color w:val="auto"/>
              </w:rPr>
            </w:pPr>
          </w:p>
        </w:tc>
      </w:tr>
      <w:tr>
        <w:trPr>
          <w:trHeight w:val="230"/>
        </w:trPr>
        <w:tc>
          <w:tcPr>
            <w:tcW w:w="5820" w:type="dxa"/>
            <w:vAlign w:val="bottom"/>
            <w:gridSpan w:val="2"/>
          </w:tcPr>
          <w:p>
            <w:pPr>
              <w:jc w:val="center"/>
              <w:ind w:right="200"/>
              <w:spacing w:after="0"/>
              <w:rPr>
                <w:sz w:val="20"/>
                <w:szCs w:val="20"/>
                <w:color w:val="auto"/>
              </w:rPr>
            </w:pPr>
            <w:r>
              <w:rPr>
                <w:rFonts w:ascii="Arial" w:cs="Arial" w:eastAsia="Arial" w:hAnsi="Arial"/>
                <w:sz w:val="18"/>
                <w:szCs w:val="18"/>
                <w:color w:val="auto"/>
                <w:w w:val="91"/>
              </w:rPr>
              <w:t>(State of Incorporation or Organization)</w:t>
            </w:r>
          </w:p>
        </w:tc>
        <w:tc>
          <w:tcPr>
            <w:tcW w:w="5600" w:type="dxa"/>
            <w:vAlign w:val="bottom"/>
          </w:tcPr>
          <w:p>
            <w:pPr>
              <w:jc w:val="center"/>
              <w:spacing w:after="0"/>
              <w:rPr>
                <w:sz w:val="20"/>
                <w:szCs w:val="20"/>
                <w:color w:val="auto"/>
              </w:rPr>
            </w:pPr>
            <w:r>
              <w:rPr>
                <w:rFonts w:ascii="Arial" w:cs="Arial" w:eastAsia="Arial" w:hAnsi="Arial"/>
                <w:sz w:val="18"/>
                <w:szCs w:val="18"/>
                <w:color w:val="auto"/>
                <w:w w:val="94"/>
              </w:rPr>
              <w:t>(I.R.S. Employer Identification No.)</w:t>
            </w:r>
          </w:p>
        </w:tc>
        <w:tc>
          <w:tcPr>
            <w:tcW w:w="0" w:type="dxa"/>
            <w:vAlign w:val="bottom"/>
          </w:tcPr>
          <w:p>
            <w:pPr>
              <w:spacing w:after="0"/>
              <w:rPr>
                <w:sz w:val="1"/>
                <w:szCs w:val="1"/>
                <w:color w:val="auto"/>
              </w:rPr>
            </w:pPr>
          </w:p>
        </w:tc>
      </w:tr>
      <w:tr>
        <w:trPr>
          <w:trHeight w:val="414"/>
        </w:trPr>
        <w:tc>
          <w:tcPr>
            <w:tcW w:w="58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1"/>
              </w:rPr>
              <w:t>1331 Tyler Street NE, Suite 200</w:t>
            </w:r>
          </w:p>
        </w:tc>
        <w:tc>
          <w:tcPr>
            <w:tcW w:w="5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0"/>
        </w:trPr>
        <w:tc>
          <w:tcPr>
            <w:tcW w:w="58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1"/>
              </w:rPr>
              <w:t>Minneapolis, Minnesota</w:t>
            </w:r>
          </w:p>
        </w:tc>
        <w:tc>
          <w:tcPr>
            <w:tcW w:w="5600" w:type="dxa"/>
            <w:vAlign w:val="bottom"/>
          </w:tcPr>
          <w:p>
            <w:pPr>
              <w:jc w:val="right"/>
              <w:ind w:right="2495"/>
              <w:spacing w:after="0"/>
              <w:rPr>
                <w:sz w:val="20"/>
                <w:szCs w:val="20"/>
                <w:color w:val="auto"/>
              </w:rPr>
            </w:pPr>
            <w:r>
              <w:rPr>
                <w:rFonts w:ascii="Arial" w:cs="Arial" w:eastAsia="Arial" w:hAnsi="Arial"/>
                <w:sz w:val="18"/>
                <w:szCs w:val="18"/>
                <w:b w:val="1"/>
                <w:bCs w:val="1"/>
                <w:color w:val="auto"/>
              </w:rPr>
              <w:t>55413</w:t>
            </w:r>
          </w:p>
        </w:tc>
        <w:tc>
          <w:tcPr>
            <w:tcW w:w="0" w:type="dxa"/>
            <w:vAlign w:val="bottom"/>
          </w:tcPr>
          <w:p>
            <w:pPr>
              <w:spacing w:after="0"/>
              <w:rPr>
                <w:sz w:val="1"/>
                <w:szCs w:val="1"/>
                <w:color w:val="auto"/>
              </w:rPr>
            </w:pPr>
          </w:p>
        </w:tc>
      </w:tr>
      <w:tr>
        <w:trPr>
          <w:trHeight w:val="230"/>
        </w:trPr>
        <w:tc>
          <w:tcPr>
            <w:tcW w:w="5820" w:type="dxa"/>
            <w:vAlign w:val="bottom"/>
            <w:gridSpan w:val="2"/>
          </w:tcPr>
          <w:p>
            <w:pPr>
              <w:jc w:val="center"/>
              <w:ind w:right="200"/>
              <w:spacing w:after="0"/>
              <w:rPr>
                <w:sz w:val="20"/>
                <w:szCs w:val="20"/>
                <w:color w:val="auto"/>
              </w:rPr>
            </w:pPr>
            <w:r>
              <w:rPr>
                <w:rFonts w:ascii="Arial" w:cs="Arial" w:eastAsia="Arial" w:hAnsi="Arial"/>
                <w:sz w:val="18"/>
                <w:szCs w:val="18"/>
                <w:color w:val="auto"/>
                <w:w w:val="92"/>
              </w:rPr>
              <w:t>(Address of Principal Executive Offices)</w:t>
            </w:r>
          </w:p>
        </w:tc>
        <w:tc>
          <w:tcPr>
            <w:tcW w:w="5600" w:type="dxa"/>
            <w:vAlign w:val="bottom"/>
          </w:tcPr>
          <w:p>
            <w:pPr>
              <w:jc w:val="center"/>
              <w:spacing w:after="0"/>
              <w:rPr>
                <w:sz w:val="20"/>
                <w:szCs w:val="20"/>
                <w:color w:val="auto"/>
              </w:rPr>
            </w:pPr>
            <w:r>
              <w:rPr>
                <w:rFonts w:ascii="Arial" w:cs="Arial" w:eastAsia="Arial" w:hAnsi="Arial"/>
                <w:sz w:val="18"/>
                <w:szCs w:val="18"/>
                <w:color w:val="auto"/>
                <w:w w:val="94"/>
              </w:rPr>
              <w:t>(Zip Code)</w:t>
            </w:r>
          </w:p>
        </w:tc>
        <w:tc>
          <w:tcPr>
            <w:tcW w:w="0" w:type="dxa"/>
            <w:vAlign w:val="bottom"/>
          </w:tcPr>
          <w:p>
            <w:pPr>
              <w:spacing w:after="0"/>
              <w:rPr>
                <w:sz w:val="1"/>
                <w:szCs w:val="1"/>
                <w:color w:val="auto"/>
              </w:rPr>
            </w:pPr>
          </w:p>
        </w:tc>
      </w:tr>
      <w:tr>
        <w:trPr>
          <w:trHeight w:val="432"/>
        </w:trPr>
        <w:tc>
          <w:tcPr>
            <w:tcW w:w="11420" w:type="dxa"/>
            <w:vAlign w:val="bottom"/>
            <w:gridSpan w:val="3"/>
          </w:tcPr>
          <w:p>
            <w:pPr>
              <w:ind w:left="3440"/>
              <w:spacing w:after="0"/>
              <w:rPr>
                <w:sz w:val="20"/>
                <w:szCs w:val="20"/>
                <w:color w:val="auto"/>
              </w:rPr>
            </w:pPr>
            <w:r>
              <w:rPr>
                <w:rFonts w:ascii="Arial" w:cs="Arial" w:eastAsia="Arial" w:hAnsi="Arial"/>
                <w:sz w:val="18"/>
                <w:szCs w:val="18"/>
                <w:color w:val="auto"/>
              </w:rPr>
              <w:t>Securities to be registered pursuant to Section 12(b) of the Act:</w:t>
            </w:r>
          </w:p>
        </w:tc>
        <w:tc>
          <w:tcPr>
            <w:tcW w:w="0" w:type="dxa"/>
            <w:vAlign w:val="bottom"/>
          </w:tcPr>
          <w:p>
            <w:pPr>
              <w:spacing w:after="0"/>
              <w:rPr>
                <w:sz w:val="1"/>
                <w:szCs w:val="1"/>
                <w:color w:val="auto"/>
              </w:rPr>
            </w:pPr>
          </w:p>
        </w:tc>
      </w:tr>
      <w:tr>
        <w:trPr>
          <w:trHeight w:val="342"/>
        </w:trPr>
        <w:tc>
          <w:tcPr>
            <w:tcW w:w="56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0"/>
              </w:rPr>
              <w:t>Title of Each Class to be so Registered</w:t>
            </w:r>
          </w:p>
        </w:tc>
        <w:tc>
          <w:tcPr>
            <w:tcW w:w="200" w:type="dxa"/>
            <w:vAlign w:val="bottom"/>
            <w:vMerge w:val="restart"/>
          </w:tcPr>
          <w:p>
            <w:pPr>
              <w:spacing w:after="0"/>
              <w:rPr>
                <w:sz w:val="24"/>
                <w:szCs w:val="24"/>
                <w:color w:val="auto"/>
              </w:rPr>
            </w:pPr>
          </w:p>
        </w:tc>
        <w:tc>
          <w:tcPr>
            <w:tcW w:w="5600" w:type="dxa"/>
            <w:vAlign w:val="bottom"/>
          </w:tcPr>
          <w:p>
            <w:pPr>
              <w:jc w:val="center"/>
              <w:spacing w:after="0"/>
              <w:rPr>
                <w:sz w:val="20"/>
                <w:szCs w:val="20"/>
                <w:color w:val="auto"/>
              </w:rPr>
            </w:pPr>
            <w:r>
              <w:rPr>
                <w:rFonts w:ascii="Arial" w:cs="Arial" w:eastAsia="Arial" w:hAnsi="Arial"/>
                <w:sz w:val="14"/>
                <w:szCs w:val="14"/>
                <w:b w:val="1"/>
                <w:bCs w:val="1"/>
                <w:color w:val="auto"/>
                <w:w w:val="92"/>
              </w:rPr>
              <w:t>Name of Each Exchange on Which</w:t>
            </w:r>
          </w:p>
        </w:tc>
        <w:tc>
          <w:tcPr>
            <w:tcW w:w="0" w:type="dxa"/>
            <w:vAlign w:val="bottom"/>
          </w:tcPr>
          <w:p>
            <w:pPr>
              <w:spacing w:after="0"/>
              <w:rPr>
                <w:sz w:val="1"/>
                <w:szCs w:val="1"/>
                <w:color w:val="auto"/>
              </w:rPr>
            </w:pPr>
          </w:p>
        </w:tc>
      </w:tr>
      <w:tr>
        <w:trPr>
          <w:trHeight w:val="171"/>
        </w:trPr>
        <w:tc>
          <w:tcPr>
            <w:tcW w:w="5620" w:type="dxa"/>
            <w:vAlign w:val="bottom"/>
            <w:tcBorders>
              <w:bottom w:val="single" w:sz="8" w:color="auto"/>
            </w:tcBorders>
            <w:vMerge w:val="continue"/>
          </w:tcPr>
          <w:p>
            <w:pPr>
              <w:spacing w:after="0"/>
              <w:rPr>
                <w:sz w:val="14"/>
                <w:szCs w:val="14"/>
                <w:color w:val="auto"/>
              </w:rPr>
            </w:pPr>
          </w:p>
        </w:tc>
        <w:tc>
          <w:tcPr>
            <w:tcW w:w="200" w:type="dxa"/>
            <w:vAlign w:val="bottom"/>
            <w:vMerge w:val="continue"/>
          </w:tcPr>
          <w:p>
            <w:pPr>
              <w:spacing w:after="0"/>
              <w:rPr>
                <w:sz w:val="14"/>
                <w:szCs w:val="14"/>
                <w:color w:val="auto"/>
              </w:rPr>
            </w:pPr>
          </w:p>
        </w:tc>
        <w:tc>
          <w:tcPr>
            <w:tcW w:w="56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Each Class is to be Registered</w:t>
            </w:r>
          </w:p>
        </w:tc>
        <w:tc>
          <w:tcPr>
            <w:tcW w:w="0" w:type="dxa"/>
            <w:vAlign w:val="bottom"/>
          </w:tcPr>
          <w:p>
            <w:pPr>
              <w:spacing w:after="0"/>
              <w:rPr>
                <w:sz w:val="1"/>
                <w:szCs w:val="1"/>
                <w:color w:val="auto"/>
              </w:rPr>
            </w:pPr>
          </w:p>
        </w:tc>
      </w:tr>
      <w:tr>
        <w:trPr>
          <w:trHeight w:val="426"/>
        </w:trPr>
        <w:tc>
          <w:tcPr>
            <w:tcW w:w="5820" w:type="dxa"/>
            <w:vAlign w:val="bottom"/>
            <w:gridSpan w:val="2"/>
          </w:tcPr>
          <w:p>
            <w:pPr>
              <w:spacing w:after="0"/>
              <w:rPr>
                <w:sz w:val="20"/>
                <w:szCs w:val="20"/>
                <w:color w:val="auto"/>
              </w:rPr>
            </w:pPr>
            <w:r>
              <w:rPr>
                <w:rFonts w:ascii="Arial" w:cs="Arial" w:eastAsia="Arial" w:hAnsi="Arial"/>
                <w:sz w:val="18"/>
                <w:szCs w:val="18"/>
                <w:color w:val="auto"/>
              </w:rPr>
              <w:t>Common stock, par value $0.001 per share</w:t>
            </w:r>
          </w:p>
        </w:tc>
        <w:tc>
          <w:tcPr>
            <w:tcW w:w="5600" w:type="dxa"/>
            <w:vAlign w:val="bottom"/>
          </w:tcPr>
          <w:p>
            <w:pPr>
              <w:jc w:val="center"/>
              <w:spacing w:after="0"/>
              <w:rPr>
                <w:sz w:val="20"/>
                <w:szCs w:val="20"/>
                <w:color w:val="auto"/>
              </w:rPr>
            </w:pPr>
            <w:r>
              <w:rPr>
                <w:rFonts w:ascii="Arial" w:cs="Arial" w:eastAsia="Arial" w:hAnsi="Arial"/>
                <w:sz w:val="18"/>
                <w:szCs w:val="18"/>
                <w:color w:val="auto"/>
                <w:w w:val="95"/>
              </w:rPr>
              <w:t>The NASDAQ Global Market</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27" w:lineRule="exact"/>
        <w:rPr>
          <w:sz w:val="24"/>
          <w:szCs w:val="24"/>
          <w:color w:val="auto"/>
        </w:rPr>
      </w:pPr>
    </w:p>
    <w:p>
      <w:pPr>
        <w:ind w:left="660" w:right="500"/>
        <w:spacing w:after="0" w:line="277" w:lineRule="auto"/>
        <w:rPr>
          <w:sz w:val="20"/>
          <w:szCs w:val="20"/>
          <w:color w:val="auto"/>
        </w:rPr>
      </w:pPr>
      <w:r>
        <w:rPr>
          <w:rFonts w:ascii="Arial" w:cs="Arial" w:eastAsia="Arial" w:hAnsi="Arial"/>
          <w:sz w:val="18"/>
          <w:szCs w:val="18"/>
          <w:color w:val="auto"/>
        </w:rPr>
        <w:t>If this form relates to the registration of a class of securities pursuant to Section 12(b) of the Exchange Act and is effective pursuant to General Instruction A.(c), please check the following box: x</w:t>
      </w:r>
    </w:p>
    <w:p>
      <w:pPr>
        <w:spacing w:after="0" w:line="170" w:lineRule="exact"/>
        <w:rPr>
          <w:sz w:val="24"/>
          <w:szCs w:val="24"/>
          <w:color w:val="auto"/>
        </w:rPr>
      </w:pPr>
    </w:p>
    <w:p>
      <w:pPr>
        <w:ind w:left="660" w:right="500"/>
        <w:spacing w:after="0" w:line="277" w:lineRule="auto"/>
        <w:rPr>
          <w:sz w:val="20"/>
          <w:szCs w:val="20"/>
          <w:color w:val="auto"/>
        </w:rPr>
      </w:pPr>
      <w:r>
        <w:rPr>
          <w:rFonts w:ascii="Arial" w:cs="Arial" w:eastAsia="Arial" w:hAnsi="Arial"/>
          <w:sz w:val="18"/>
          <w:szCs w:val="18"/>
          <w:color w:val="auto"/>
        </w:rPr>
        <w:t>If this form relates to the registration of a class of securities pursuant to Section 12(g) of the Exchange Act and is effective pursuant to General Instruction A.(d), please check the following box: o</w:t>
      </w:r>
    </w:p>
    <w:p>
      <w:pPr>
        <w:spacing w:after="0" w:line="170" w:lineRule="exact"/>
        <w:rPr>
          <w:sz w:val="24"/>
          <w:szCs w:val="24"/>
          <w:color w:val="auto"/>
        </w:rPr>
      </w:pPr>
    </w:p>
    <w:p>
      <w:pPr>
        <w:ind w:left="660"/>
        <w:spacing w:after="0"/>
        <w:rPr>
          <w:sz w:val="20"/>
          <w:szCs w:val="20"/>
          <w:color w:val="auto"/>
        </w:rPr>
      </w:pPr>
      <w:r>
        <w:rPr>
          <w:rFonts w:ascii="Arial" w:cs="Arial" w:eastAsia="Arial" w:hAnsi="Arial"/>
          <w:sz w:val="18"/>
          <w:szCs w:val="18"/>
          <w:color w:val="auto"/>
        </w:rPr>
        <w:t>Securities Act registration statement file number to which this form relates: 333-209115</w:t>
      </w:r>
    </w:p>
    <w:p>
      <w:pPr>
        <w:spacing w:after="0" w:line="225" w:lineRule="exact"/>
        <w:rPr>
          <w:sz w:val="24"/>
          <w:szCs w:val="24"/>
          <w:color w:val="auto"/>
        </w:rPr>
      </w:pPr>
    </w:p>
    <w:p>
      <w:pPr>
        <w:ind w:left="660"/>
        <w:spacing w:after="0"/>
        <w:rPr>
          <w:sz w:val="20"/>
          <w:szCs w:val="20"/>
          <w:color w:val="auto"/>
        </w:rPr>
      </w:pPr>
      <w:r>
        <w:rPr>
          <w:rFonts w:ascii="Arial" w:cs="Arial" w:eastAsia="Arial" w:hAnsi="Arial"/>
          <w:sz w:val="18"/>
          <w:szCs w:val="18"/>
          <w:color w:val="auto"/>
        </w:rPr>
        <w:t>Securities to be registered pursuant to Section 12(g) of the Act: None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194945</wp:posOffset>
            </wp:positionV>
            <wp:extent cx="7246620" cy="342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433070</wp:posOffset>
            </wp:positionV>
            <wp:extent cx="7267575"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5" w:lineRule="exact"/>
        <w:rPr>
          <w:sz w:val="24"/>
          <w:szCs w:val="24"/>
          <w:color w:val="auto"/>
        </w:rPr>
      </w:pPr>
    </w:p>
    <w:p>
      <w:pPr>
        <w:ind w:left="3140"/>
        <w:spacing w:after="0"/>
        <w:rPr>
          <w:sz w:val="20"/>
          <w:szCs w:val="20"/>
          <w:color w:val="auto"/>
        </w:rPr>
      </w:pPr>
      <w:r>
        <w:rPr>
          <w:rFonts w:ascii="Arial" w:cs="Arial" w:eastAsia="Arial" w:hAnsi="Arial"/>
          <w:sz w:val="18"/>
          <w:szCs w:val="18"/>
          <w:b w:val="1"/>
          <w:bCs w:val="1"/>
          <w:color w:val="auto"/>
        </w:rPr>
        <w:t>INFORMATION REQUIRED IN REGISTRATION STATEMENT</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Item 1. Description of Registrant’s Securities to be Registered</w:t>
      </w:r>
    </w:p>
    <w:p>
      <w:pPr>
        <w:spacing w:after="0" w:line="229" w:lineRule="exact"/>
        <w:rPr>
          <w:sz w:val="24"/>
          <w:szCs w:val="24"/>
          <w:color w:val="auto"/>
        </w:rPr>
      </w:pPr>
    </w:p>
    <w:p>
      <w:pPr>
        <w:ind w:right="140"/>
        <w:spacing w:after="0" w:line="286" w:lineRule="auto"/>
        <w:rPr>
          <w:sz w:val="20"/>
          <w:szCs w:val="20"/>
          <w:color w:val="auto"/>
        </w:rPr>
      </w:pPr>
      <w:r>
        <w:rPr>
          <w:rFonts w:ascii="Arial" w:cs="Arial" w:eastAsia="Arial" w:hAnsi="Arial"/>
          <w:sz w:val="17"/>
          <w:szCs w:val="17"/>
          <w:color w:val="auto"/>
        </w:rPr>
        <w:t>The “Description of Capital Stock” section included in the Registration Statement on Form S-1 (SEC File No. 333-209115), as amended, which Registration Statement was initially filed with the Securities and Exchange Commission on January 25, 2016, as well as in any prospectus that constitutes a part thereof and is filed pursuant to Rule 424(b) under the Securities Act of 1933, as amended, is incorporated herein by reference.</w:t>
      </w:r>
    </w:p>
    <w:p>
      <w:pPr>
        <w:spacing w:after="0" w:line="162"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Item 2. Exhibits</w:t>
      </w:r>
    </w:p>
    <w:p>
      <w:pPr>
        <w:spacing w:after="0" w:line="229" w:lineRule="exact"/>
        <w:rPr>
          <w:sz w:val="24"/>
          <w:szCs w:val="24"/>
          <w:color w:val="auto"/>
        </w:rPr>
      </w:pPr>
    </w:p>
    <w:p>
      <w:pPr>
        <w:jc w:val="both"/>
        <w:ind w:right="500"/>
        <w:spacing w:after="0" w:line="342" w:lineRule="auto"/>
        <w:rPr>
          <w:sz w:val="20"/>
          <w:szCs w:val="20"/>
          <w:color w:val="auto"/>
        </w:rPr>
      </w:pPr>
      <w:r>
        <w:rPr>
          <w:rFonts w:ascii="Arial" w:cs="Arial" w:eastAsia="Arial" w:hAnsi="Arial"/>
          <w:sz w:val="16"/>
          <w:szCs w:val="16"/>
          <w:color w:val="auto"/>
        </w:rPr>
        <w:t>Pursuant to the Instructions as to Exhibits with respect to Form 8-A, no exhibits are required to be filed, because no other securities of the registrant are registered on The NASDAQ Global Market and the securities registered hereby are not being registered pursuant to Section 12(g) of the Exchange Act.</w:t>
      </w:r>
    </w:p>
    <w:p>
      <w:pPr>
        <w:spacing w:after="0" w:line="124"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0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4"/>
          <w:szCs w:val="24"/>
          <w:color w:val="auto"/>
        </w:rPr>
      </w:pPr>
    </w:p>
    <w:p>
      <w:pPr>
        <w:ind w:right="300" w:firstLine="648"/>
        <w:spacing w:after="0" w:line="277" w:lineRule="auto"/>
        <w:rPr>
          <w:sz w:val="20"/>
          <w:szCs w:val="20"/>
          <w:color w:val="auto"/>
        </w:rPr>
      </w:pPr>
      <w:r>
        <w:rPr>
          <w:rFonts w:ascii="Arial" w:cs="Arial" w:eastAsia="Arial" w:hAnsi="Arial"/>
          <w:sz w:val="18"/>
          <w:szCs w:val="18"/>
          <w:color w:val="auto"/>
        </w:rPr>
        <w:t>Pursuant to the requirements of Section 12 of the Securities Exchange Act of 1934, the registrant has duly caused this registration statement to be signed on its behalf by the undersigned, thereunto duly authorized.</w:t>
      </w:r>
    </w:p>
    <w:p>
      <w:pPr>
        <w:spacing w:after="0" w:line="166" w:lineRule="exact"/>
        <w:rPr>
          <w:sz w:val="24"/>
          <w:szCs w:val="24"/>
          <w:color w:val="auto"/>
        </w:rPr>
      </w:pPr>
    </w:p>
    <w:p>
      <w:pPr>
        <w:ind w:left="5740"/>
        <w:spacing w:after="0"/>
        <w:rPr>
          <w:sz w:val="20"/>
          <w:szCs w:val="20"/>
          <w:color w:val="auto"/>
        </w:rPr>
      </w:pPr>
      <w:r>
        <w:rPr>
          <w:rFonts w:ascii="Arial" w:cs="Arial" w:eastAsia="Arial" w:hAnsi="Arial"/>
          <w:sz w:val="18"/>
          <w:szCs w:val="18"/>
          <w:b w:val="1"/>
          <w:bCs w:val="1"/>
          <w:color w:val="auto"/>
        </w:rPr>
        <w:t>TACTILE SYSTEMS TECHNOLOGY, INC.</w:t>
      </w:r>
    </w:p>
    <w:p>
      <w:pPr>
        <w:spacing w:after="0" w:line="200" w:lineRule="exact"/>
        <w:rPr>
          <w:sz w:val="24"/>
          <w:szCs w:val="24"/>
          <w:color w:val="auto"/>
        </w:rPr>
      </w:pPr>
    </w:p>
    <w:p>
      <w:pPr>
        <w:spacing w:after="0" w:line="245" w:lineRule="exact"/>
        <w:rPr>
          <w:sz w:val="24"/>
          <w:szCs w:val="24"/>
          <w:color w:val="auto"/>
        </w:rPr>
      </w:pPr>
    </w:p>
    <w:p>
      <w:pPr>
        <w:spacing w:after="0"/>
        <w:tabs>
          <w:tab w:leader="none" w:pos="5720" w:val="left"/>
        </w:tabs>
        <w:rPr>
          <w:sz w:val="20"/>
          <w:szCs w:val="20"/>
          <w:color w:val="auto"/>
        </w:rPr>
      </w:pPr>
      <w:r>
        <w:rPr>
          <w:rFonts w:ascii="Arial" w:cs="Arial" w:eastAsia="Arial" w:hAnsi="Arial"/>
          <w:sz w:val="18"/>
          <w:szCs w:val="18"/>
          <w:color w:val="auto"/>
        </w:rPr>
        <w:t>Dated: June 10, 2016</w:t>
      </w:r>
      <w:r>
        <w:rPr>
          <w:sz w:val="20"/>
          <w:szCs w:val="20"/>
          <w:color w:val="auto"/>
        </w:rPr>
        <w:tab/>
      </w:r>
      <w:r>
        <w:rPr>
          <w:rFonts w:ascii="Arial" w:cs="Arial" w:eastAsia="Arial" w:hAnsi="Arial"/>
          <w:sz w:val="16"/>
          <w:szCs w:val="16"/>
          <w:color w:val="auto"/>
        </w:rPr>
        <w:t>/s/ Lynn Blake</w:t>
      </w:r>
    </w:p>
    <w:p>
      <w:pPr>
        <w:spacing w:after="0" w:line="23" w:lineRule="exact"/>
        <w:rPr>
          <w:sz w:val="24"/>
          <w:szCs w:val="24"/>
          <w:color w:val="auto"/>
        </w:rPr>
      </w:pPr>
    </w:p>
    <w:p>
      <w:pPr>
        <w:ind w:left="5740"/>
        <w:spacing w:after="0"/>
        <w:rPr>
          <w:sz w:val="20"/>
          <w:szCs w:val="20"/>
          <w:color w:val="auto"/>
        </w:rPr>
      </w:pPr>
      <w:r>
        <w:rPr>
          <w:rFonts w:ascii="Arial" w:cs="Arial" w:eastAsia="Arial" w:hAnsi="Arial"/>
          <w:sz w:val="18"/>
          <w:szCs w:val="18"/>
          <w:color w:val="auto"/>
        </w:rPr>
        <w:t>Lynn Blake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3649980</wp:posOffset>
            </wp:positionH>
            <wp:positionV relativeFrom="paragraph">
              <wp:posOffset>-130810</wp:posOffset>
            </wp:positionV>
            <wp:extent cx="36017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601720" cy="8890"/>
                    </a:xfrm>
                    <a:prstGeom prst="rect">
                      <a:avLst/>
                    </a:prstGeom>
                    <a:noFill/>
                  </pic:spPr>
                </pic:pic>
              </a:graphicData>
            </a:graphic>
          </wp:anchor>
        </w:drawing>
      </w:r>
    </w:p>
    <w:p>
      <w:pPr>
        <w:sectPr>
          <w:pgSz w:w="11900" w:h="16838" w:orient="portrait"/>
          <w:cols w:equalWidth="0" w:num="1">
            <w:col w:w="11420"/>
          </w:cols>
          <w:pgMar w:left="240" w:top="544" w:right="239" w:bottom="0" w:gutter="0" w:footer="0" w:header="0"/>
        </w:sectPr>
      </w:pPr>
    </w:p>
    <w:bookmarkStart w:id="1" w:name="page2"/>
    <w:bookmarkEnd w:id="1"/>
    <w:p>
      <w:pPr>
        <w:ind w:left="4540"/>
        <w:spacing w:after="0"/>
        <w:rPr>
          <w:sz w:val="20"/>
          <w:szCs w:val="20"/>
          <w:color w:val="auto"/>
        </w:rPr>
      </w:pPr>
      <w:r>
        <w:rPr>
          <w:rFonts w:ascii="Arial" w:cs="Arial" w:eastAsia="Arial" w:hAnsi="Arial"/>
          <w:sz w:val="17"/>
          <w:szCs w:val="17"/>
          <w:color w:val="auto"/>
        </w:rPr>
        <w:t>Chief Financial Officer</w:t>
      </w: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88900</wp:posOffset>
            </wp:positionV>
            <wp:extent cx="7267575" cy="298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9019"/>
      </w:cols>
      <w:pgMar w:left="1440" w:top="125"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2019-12-06T14:27:45Z</dcterms:created>
  <dcterms:modified xsi:type="dcterms:W3CDTF">2019-12-06T14:27:45Z</dcterms:modified>
</cp:coreProperties>
</file>