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SEC Form 4</w:t>
      </w:r>
    </w:p>
    <w:p>
      <w:pPr>
        <w:spacing w:after="0" w:line="41" w:lineRule="exact"/>
        <w:rPr>
          <w:sz w:val="24"/>
          <w:szCs w:val="24"/>
          <w:color w:val="auto"/>
        </w:rPr>
      </w:pPr>
    </w:p>
    <w:p>
      <w:pPr>
        <w:ind w:left="7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67" w:lineRule="exact"/>
        <w:rPr>
          <w:sz w:val="24"/>
          <w:szCs w:val="24"/>
          <w:color w:val="auto"/>
        </w:rPr>
      </w:pPr>
    </w:p>
    <w:p>
      <w:pPr>
        <w:ind w:left="380"/>
        <w:spacing w:after="0" w:line="23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38735</wp:posOffset>
            </wp:positionH>
            <wp:positionV relativeFrom="paragraph">
              <wp:posOffset>-243205</wp:posOffset>
            </wp:positionV>
            <wp:extent cx="136525" cy="136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" cy="136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4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3"/>
        </w:trPr>
        <w:tc>
          <w:tcPr>
            <w:tcW w:w="6540" w:type="dxa"/>
            <w:vAlign w:val="bottom"/>
          </w:tcPr>
          <w:p>
            <w:pPr>
              <w:jc w:val="center"/>
              <w:ind w:right="1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40" w:type="dxa"/>
            <w:vAlign w:val="bottom"/>
            <w:vMerge w:val="restart"/>
          </w:tcPr>
          <w:p>
            <w:pPr>
              <w:jc w:val="center"/>
              <w:ind w:right="173"/>
              <w:spacing w:after="0" w:line="14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0"/>
        </w:trPr>
        <w:tc>
          <w:tcPr>
            <w:tcW w:w="654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9"/>
        </w:trPr>
        <w:tc>
          <w:tcPr>
            <w:tcW w:w="65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"/>
        </w:trPr>
        <w:tc>
          <w:tcPr>
            <w:tcW w:w="6540" w:type="dxa"/>
            <w:vAlign w:val="bottom"/>
            <w:vMerge w:val="restart"/>
          </w:tcPr>
          <w:p>
            <w:pPr>
              <w:jc w:val="center"/>
              <w:ind w:right="1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0"/>
        </w:trPr>
        <w:tc>
          <w:tcPr>
            <w:tcW w:w="654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654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9"/>
        </w:trPr>
        <w:tc>
          <w:tcPr>
            <w:tcW w:w="65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6540" w:type="dxa"/>
            <w:vAlign w:val="bottom"/>
            <w:vMerge w:val="restart"/>
          </w:tcPr>
          <w:p>
            <w:pPr>
              <w:jc w:val="center"/>
              <w:ind w:right="1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"/>
        </w:trPr>
        <w:tc>
          <w:tcPr>
            <w:tcW w:w="654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54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5481955</wp:posOffset>
            </wp:positionH>
            <wp:positionV relativeFrom="paragraph">
              <wp:posOffset>-650875</wp:posOffset>
            </wp:positionV>
            <wp:extent cx="59690" cy="6642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4145280</wp:posOffset>
            </wp:positionH>
            <wp:positionV relativeFrom="paragraph">
              <wp:posOffset>-650875</wp:posOffset>
            </wp:positionV>
            <wp:extent cx="59690" cy="66421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-1696720</wp:posOffset>
            </wp:positionH>
            <wp:positionV relativeFrom="paragraph">
              <wp:posOffset>20320</wp:posOffset>
            </wp:positionV>
            <wp:extent cx="7323455" cy="510984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3455" cy="5109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04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360" w:space="300"/>
            <w:col w:w="8860"/>
          </w:cols>
          <w:pgMar w:left="240" w:top="225" w:right="139" w:bottom="1440" w:gutter="0" w:footer="0" w:header="0"/>
        </w:sect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1. Name and Address of Reporting Person</w:t>
      </w:r>
      <w:r>
        <w:rPr>
          <w:rFonts w:ascii="Arial" w:cs="Arial" w:eastAsia="Arial" w:hAnsi="Arial"/>
          <w:sz w:val="22"/>
          <w:szCs w:val="22"/>
          <w:color w:val="auto"/>
          <w:vertAlign w:val="superscript"/>
        </w:rPr>
        <w:t>*</w:t>
      </w:r>
    </w:p>
    <w:p>
      <w:pPr>
        <w:ind w:left="120"/>
        <w:spacing w:after="0"/>
        <w:rPr>
          <w:rFonts w:ascii="Arial" w:cs="Arial" w:eastAsia="Arial" w:hAnsi="Arial"/>
          <w:sz w:val="21"/>
          <w:szCs w:val="21"/>
          <w:u w:val="single" w:color="auto"/>
          <w:color w:val="0000EE"/>
        </w:rPr>
      </w:pPr>
      <w:hyperlink r:id="rId12">
        <w:r>
          <w:rPr>
            <w:rFonts w:ascii="Arial" w:cs="Arial" w:eastAsia="Arial" w:hAnsi="Arial"/>
            <w:sz w:val="21"/>
            <w:szCs w:val="21"/>
            <w:u w:val="single" w:color="auto"/>
            <w:color w:val="0000EE"/>
          </w:rPr>
          <w:t>Blake Lynn Larson</w:t>
        </w:r>
      </w:hyperlink>
    </w:p>
    <w:p>
      <w:pPr>
        <w:spacing w:after="0" w:line="325" w:lineRule="exact"/>
        <w:rPr>
          <w:sz w:val="24"/>
          <w:szCs w:val="24"/>
          <w:color w:val="auto"/>
        </w:r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1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(Last)</w:t>
            </w:r>
          </w:p>
        </w:tc>
        <w:tc>
          <w:tcPr>
            <w:tcW w:w="1280" w:type="dxa"/>
            <w:vAlign w:val="bottom"/>
          </w:tcPr>
          <w:p>
            <w:pPr>
              <w:ind w:left="4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(First)</w:t>
            </w:r>
          </w:p>
        </w:tc>
        <w:tc>
          <w:tcPr>
            <w:tcW w:w="1680" w:type="dxa"/>
            <w:vAlign w:val="bottom"/>
          </w:tcPr>
          <w:p>
            <w:pPr>
              <w:ind w:left="4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(Middle)</w:t>
            </w:r>
          </w:p>
        </w:tc>
      </w:tr>
      <w:tr>
        <w:trPr>
          <w:trHeight w:val="280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1331 TYLER STREET NE, SUITE 200</w:t>
            </w:r>
          </w:p>
        </w:tc>
      </w:tr>
      <w:tr>
        <w:trPr>
          <w:trHeight w:val="210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</w:tr>
      <w:tr>
        <w:trPr>
          <w:trHeight w:val="268"/>
        </w:trPr>
        <w:tc>
          <w:tcPr>
            <w:tcW w:w="8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(Street)</w:t>
            </w:r>
          </w:p>
        </w:tc>
        <w:tc>
          <w:tcPr>
            <w:tcW w:w="12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40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12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MINNEAPOLIS MN</w:t>
            </w:r>
          </w:p>
        </w:tc>
        <w:tc>
          <w:tcPr>
            <w:tcW w:w="1680" w:type="dxa"/>
            <w:vAlign w:val="bottom"/>
          </w:tcPr>
          <w:p>
            <w:pPr>
              <w:ind w:left="4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55413</w:t>
            </w:r>
          </w:p>
        </w:tc>
      </w:tr>
      <w:tr>
        <w:trPr>
          <w:trHeight w:val="156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308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(City)</w:t>
            </w:r>
          </w:p>
        </w:tc>
        <w:tc>
          <w:tcPr>
            <w:tcW w:w="1280" w:type="dxa"/>
            <w:vAlign w:val="bottom"/>
          </w:tcPr>
          <w:p>
            <w:pPr>
              <w:ind w:left="4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(State)</w:t>
            </w:r>
          </w:p>
        </w:tc>
        <w:tc>
          <w:tcPr>
            <w:tcW w:w="1680" w:type="dxa"/>
            <w:vAlign w:val="bottom"/>
          </w:tcPr>
          <w:p>
            <w:pPr>
              <w:ind w:left="4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(Zip)</w:t>
            </w: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49"/>
        </w:trPr>
        <w:tc>
          <w:tcPr>
            <w:tcW w:w="398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 xml:space="preserve">2. Issuer Name </w:t>
            </w: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and</w:t>
            </w: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 xml:space="preserve"> Ticker or Trading Symbol</w:t>
            </w:r>
          </w:p>
        </w:tc>
        <w:tc>
          <w:tcPr>
            <w:tcW w:w="342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5. Relationship of Reporting Person(s) to Issuer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9"/>
        </w:trPr>
        <w:tc>
          <w:tcPr>
            <w:tcW w:w="3980" w:type="dxa"/>
            <w:vAlign w:val="bottom"/>
            <w:gridSpan w:val="3"/>
          </w:tcPr>
          <w:p>
            <w:pPr>
              <w:ind w:left="80"/>
              <w:spacing w:after="0" w:line="209" w:lineRule="exact"/>
              <w:rPr>
                <w:rFonts w:ascii="Arial" w:cs="Arial" w:eastAsia="Arial" w:hAnsi="Arial"/>
                <w:sz w:val="21"/>
                <w:szCs w:val="21"/>
                <w:color w:val="0000EE"/>
              </w:rPr>
            </w:pPr>
            <w:hyperlink r:id="rId13">
              <w:r>
                <w:rPr>
                  <w:rFonts w:ascii="Arial" w:cs="Arial" w:eastAsia="Arial" w:hAnsi="Arial"/>
                  <w:sz w:val="21"/>
                  <w:szCs w:val="21"/>
                  <w:color w:val="0000EE"/>
                </w:rPr>
                <w:t>TACTILE SYSTEMS TECHNOLOGY INC</w:t>
              </w:r>
            </w:hyperlink>
          </w:p>
        </w:tc>
        <w:tc>
          <w:tcPr>
            <w:tcW w:w="192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(Check all applicable)</w:t>
            </w:r>
          </w:p>
        </w:tc>
        <w:tc>
          <w:tcPr>
            <w:tcW w:w="15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"/>
        </w:trPr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840" w:type="dxa"/>
            <w:vAlign w:val="bottom"/>
            <w:shd w:val="clear" w:color="auto" w:fill="0000E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Director</w:t>
            </w:r>
          </w:p>
        </w:tc>
        <w:tc>
          <w:tcPr>
            <w:tcW w:w="1500" w:type="dxa"/>
            <w:vAlign w:val="bottom"/>
            <w:vMerge w:val="restart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398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color w:val="auto"/>
              </w:rPr>
              <w:t xml:space="preserve">[ </w:t>
            </w: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TCMD</w:t>
            </w:r>
            <w:r>
              <w:rPr>
                <w:rFonts w:ascii="Arial" w:cs="Arial" w:eastAsia="Arial" w:hAnsi="Arial"/>
                <w:sz w:val="21"/>
                <w:szCs w:val="21"/>
                <w:color w:val="auto"/>
              </w:rPr>
              <w:t xml:space="preserve"> ]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0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4"/>
        </w:trPr>
        <w:tc>
          <w:tcPr>
            <w:tcW w:w="398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20" w:type="dxa"/>
            <w:vAlign w:val="bottom"/>
            <w:vMerge w:val="restart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X</w:t>
            </w:r>
          </w:p>
        </w:tc>
        <w:tc>
          <w:tcPr>
            <w:tcW w:w="140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Officer (give title</w:t>
            </w:r>
          </w:p>
        </w:tc>
        <w:tc>
          <w:tcPr>
            <w:tcW w:w="1500" w:type="dxa"/>
            <w:vAlign w:val="bottom"/>
            <w:vMerge w:val="restart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"/>
        </w:trPr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8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0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"/>
        </w:trPr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2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1500" w:type="dxa"/>
            <w:vAlign w:val="bottom"/>
            <w:vMerge w:val="restart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3"/>
        </w:trPr>
        <w:tc>
          <w:tcPr>
            <w:tcW w:w="398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3. Date of Earliest Transaction (Month/Day/Year)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0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9"/>
        </w:trPr>
        <w:tc>
          <w:tcPr>
            <w:tcW w:w="398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900" w:type="dxa"/>
            <w:vAlign w:val="bottom"/>
            <w:gridSpan w:val="2"/>
            <w:vMerge w:val="restart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Chief Financial Officer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4"/>
        </w:trPr>
        <w:tc>
          <w:tcPr>
            <w:tcW w:w="3920" w:type="dxa"/>
            <w:vAlign w:val="bottom"/>
            <w:gridSpan w:val="2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07/27/2016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9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7"/>
        </w:trPr>
        <w:tc>
          <w:tcPr>
            <w:tcW w:w="39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5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3"/>
        </w:trPr>
        <w:tc>
          <w:tcPr>
            <w:tcW w:w="398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4. If Amendment, Date of Original Filed (Month/Day/Year)</w:t>
            </w:r>
          </w:p>
        </w:tc>
        <w:tc>
          <w:tcPr>
            <w:tcW w:w="342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6. Individual or Joint/Group Filing (Check Applicable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3920" w:type="dxa"/>
            <w:vAlign w:val="bottom"/>
            <w:gridSpan w:val="2"/>
          </w:tcPr>
          <w:p>
            <w:pPr>
              <w:ind w:left="80"/>
              <w:spacing w:after="0" w:line="18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07/29/2016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Line)</w:t>
            </w: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5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1"/>
        </w:trPr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8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420" w:type="dxa"/>
            <w:vAlign w:val="bottom"/>
            <w:gridSpan w:val="3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 xml:space="preserve">X   </w:t>
            </w:r>
            <w:r>
              <w:rPr>
                <w:rFonts w:ascii="Arial" w:cs="Arial" w:eastAsia="Arial" w:hAnsi="Arial"/>
                <w:sz w:val="13"/>
                <w:szCs w:val="13"/>
                <w:color w:val="000000"/>
              </w:rPr>
              <w:t>Form filed by One Reporting Person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53" w:lineRule="exact"/>
        <w:rPr>
          <w:sz w:val="24"/>
          <w:szCs w:val="24"/>
          <w:color w:val="auto"/>
        </w:rPr>
      </w:pPr>
    </w:p>
    <w:p>
      <w:pPr>
        <w:ind w:left="46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Form filed by More than One Reporting</w:t>
      </w:r>
    </w:p>
    <w:p>
      <w:pPr>
        <w:ind w:left="46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Person</w:t>
      </w:r>
    </w:p>
    <w:p>
      <w:pPr>
        <w:spacing w:after="0" w:line="314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3920" w:space="80"/>
            <w:col w:w="7520"/>
          </w:cols>
          <w:pgMar w:left="240" w:top="225" w:right="139" w:bottom="1440" w:gutter="0" w:footer="0" w:header="0"/>
          <w:type w:val="continuous"/>
        </w:sectPr>
      </w:pPr>
    </w:p>
    <w:p>
      <w:pPr>
        <w:jc w:val="center"/>
        <w:ind w:righ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Table I - Non-Derivative Securities Acquired, Disposed of, or Beneficially Owned</w:t>
      </w:r>
    </w:p>
    <w:p>
      <w:pPr>
        <w:spacing w:after="0" w:line="130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940" w:type="dxa"/>
            <w:vAlign w:val="bottom"/>
            <w:gridSpan w:val="2"/>
          </w:tcPr>
          <w:p>
            <w:pPr>
              <w:ind w:left="8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94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gridSpan w:val="4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8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ind w:left="84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  <w:gridSpan w:val="2"/>
          </w:tcPr>
          <w:p>
            <w:pPr>
              <w:ind w:left="2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Execution Date,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  <w:gridSpan w:val="2"/>
          </w:tcPr>
          <w:p>
            <w:pPr>
              <w:ind w:left="6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1840" w:type="dxa"/>
            <w:vAlign w:val="bottom"/>
            <w:gridSpan w:val="4"/>
          </w:tcPr>
          <w:p>
            <w:pPr>
              <w:ind w:left="6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80" w:type="dxa"/>
            <w:vAlign w:val="bottom"/>
            <w:gridSpan w:val="2"/>
          </w:tcPr>
          <w:p>
            <w:pPr>
              <w:ind w:left="2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40" w:type="dxa"/>
            <w:vAlign w:val="bottom"/>
            <w:gridSpan w:val="2"/>
          </w:tcPr>
          <w:p>
            <w:pPr>
              <w:ind w:left="8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600" w:type="dxa"/>
            <w:vAlign w:val="bottom"/>
          </w:tcPr>
          <w:p>
            <w:pPr>
              <w:ind w:left="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  <w:gridSpan w:val="2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580" w:type="dxa"/>
            <w:vAlign w:val="bottom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80" w:type="dxa"/>
            <w:vAlign w:val="bottom"/>
            <w:gridSpan w:val="2"/>
          </w:tcPr>
          <w:p>
            <w:pPr>
              <w:ind w:left="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40" w:type="dxa"/>
            <w:vAlign w:val="bottom"/>
            <w:gridSpan w:val="4"/>
          </w:tcPr>
          <w:p>
            <w:pPr>
              <w:ind w:left="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  8)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80" w:type="dxa"/>
            <w:vAlign w:val="bottom"/>
            <w:gridSpan w:val="2"/>
          </w:tcPr>
          <w:p>
            <w:pPr>
              <w:ind w:left="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  <w:vMerge w:val="restart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40" w:type="dxa"/>
            <w:vAlign w:val="bottom"/>
            <w:gridSpan w:val="3"/>
            <w:vMerge w:val="restart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ind w:left="1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560" w:type="dxa"/>
            <w:vAlign w:val="bottom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40" w:type="dxa"/>
            <w:vAlign w:val="bottom"/>
            <w:vMerge w:val="restart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5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4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9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Common Stock</w:t>
            </w:r>
          </w:p>
        </w:tc>
        <w:tc>
          <w:tcPr>
            <w:tcW w:w="10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9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07/27/2016</w:t>
            </w: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A</w:t>
            </w: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85"/>
              </w:rPr>
              <w:t>63,002</w:t>
            </w:r>
            <w:r>
              <w:rPr>
                <w:rFonts w:ascii="Arial" w:cs="Arial" w:eastAsia="Arial" w:hAnsi="Arial"/>
                <w:sz w:val="22"/>
                <w:szCs w:val="22"/>
                <w:color w:val="008000"/>
                <w:w w:val="85"/>
                <w:vertAlign w:val="superscript"/>
              </w:rPr>
              <w:t>(1)</w:t>
            </w: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A</w:t>
            </w: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$</w:t>
            </w: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0</w:t>
            </w:r>
          </w:p>
        </w:tc>
        <w:tc>
          <w:tcPr>
            <w:tcW w:w="14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5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63,002</w:t>
            </w: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D</w:t>
            </w: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3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460" w:type="dxa"/>
            <w:vAlign w:val="bottom"/>
            <w:tcBorders>
              <w:top w:val="single" w:sz="8" w:color="2C2C2C"/>
            </w:tcBorders>
            <w:gridSpan w:val="1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Table II - Derivative Securities Acquired, Disposed of, or Beneficially Owned</w:t>
            </w: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680" w:type="dxa"/>
            <w:vAlign w:val="bottom"/>
            <w:gridSpan w:val="11"/>
          </w:tcPr>
          <w:p>
            <w:pPr>
              <w:ind w:left="7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(e.g., puts, calls, warrants, options, convertible securities)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8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10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18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940" w:type="dxa"/>
            <w:vAlign w:val="bottom"/>
            <w:gridSpan w:val="2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40" w:type="dxa"/>
            <w:vAlign w:val="bottom"/>
            <w:gridSpan w:val="4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126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Title and Amount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9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7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10.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0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08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80" w:type="dxa"/>
            <w:vAlign w:val="bottom"/>
          </w:tcPr>
          <w:p>
            <w:pPr>
              <w:ind w:left="1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Transaction</w:t>
            </w:r>
          </w:p>
        </w:tc>
        <w:tc>
          <w:tcPr>
            <w:tcW w:w="600" w:type="dxa"/>
            <w:vAlign w:val="bottom"/>
          </w:tcPr>
          <w:p>
            <w:pPr>
              <w:ind w:left="1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gridSpan w:val="3"/>
          </w:tcPr>
          <w:p>
            <w:pPr>
              <w:ind w:left="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3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Securities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620" w:type="dxa"/>
            <w:vAlign w:val="bottom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6"/>
              </w:rPr>
              <w:t>Ownership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ind w:left="1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0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08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(Month/Day/Year)</w:t>
            </w:r>
          </w:p>
        </w:tc>
        <w:tc>
          <w:tcPr>
            <w:tcW w:w="1180" w:type="dxa"/>
            <w:vAlign w:val="bottom"/>
          </w:tcPr>
          <w:p>
            <w:pPr>
              <w:ind w:left="1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940" w:type="dxa"/>
            <w:vAlign w:val="bottom"/>
            <w:gridSpan w:val="2"/>
          </w:tcPr>
          <w:p>
            <w:pPr>
              <w:ind w:left="1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540" w:type="dxa"/>
            <w:vAlign w:val="bottom"/>
            <w:gridSpan w:val="4"/>
          </w:tcPr>
          <w:p>
            <w:pPr>
              <w:ind w:left="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Underlying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gridSpan w:val="2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620" w:type="dxa"/>
            <w:vAlign w:val="bottom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ind w:left="1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80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ind w:left="1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940" w:type="dxa"/>
            <w:vAlign w:val="bottom"/>
            <w:gridSpan w:val="2"/>
          </w:tcPr>
          <w:p>
            <w:pPr>
              <w:ind w:left="1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3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 Security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900" w:type="dxa"/>
            <w:vAlign w:val="bottom"/>
            <w:gridSpan w:val="2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70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ind w:left="1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  <w:gridSpan w:val="2"/>
          </w:tcPr>
          <w:p>
            <w:pPr>
              <w:ind w:left="1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3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ind w:left="1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ind w:left="1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6"/>
              </w:rPr>
              <w:t>(I) (Instr. 4)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  <w:gridSpan w:val="2"/>
          </w:tcPr>
          <w:p>
            <w:pPr>
              <w:ind w:left="1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  <w:gridSpan w:val="2"/>
          </w:tcPr>
          <w:p>
            <w:pPr>
              <w:ind w:left="1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 (Instr.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  <w:gridSpan w:val="2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40" w:type="dxa"/>
            <w:vAlign w:val="bottom"/>
            <w:gridSpan w:val="2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3, 4 and 5)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</w:tcPr>
          <w:p>
            <w:pPr>
              <w:ind w:left="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60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</w:t>
            </w:r>
          </w:p>
        </w:tc>
        <w:tc>
          <w:tcPr>
            <w:tcW w:w="3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Shares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Employee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4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Stock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(2)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Common</w:t>
            </w:r>
          </w:p>
        </w:tc>
        <w:tc>
          <w:tcPr>
            <w:tcW w:w="560" w:type="dxa"/>
            <w:vAlign w:val="bottom"/>
            <w:vMerge w:val="restart"/>
          </w:tcPr>
          <w:p>
            <w:pPr>
              <w:jc w:val="right"/>
              <w:ind w:right="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88"/>
              </w:rPr>
              <w:t>63,002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Option</w:t>
            </w:r>
          </w:p>
        </w:tc>
        <w:tc>
          <w:tcPr>
            <w:tcW w:w="800" w:type="dxa"/>
            <w:vAlign w:val="bottom"/>
          </w:tcPr>
          <w:p>
            <w:pPr>
              <w:ind w:left="30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$</w:t>
            </w: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10</w:t>
            </w:r>
          </w:p>
        </w:tc>
        <w:tc>
          <w:tcPr>
            <w:tcW w:w="1080" w:type="dxa"/>
            <w:vAlign w:val="bottom"/>
          </w:tcPr>
          <w:p>
            <w:pPr>
              <w:jc w:val="right"/>
              <w:ind w:right="138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07/27/2016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18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A</w:t>
            </w:r>
          </w:p>
        </w:tc>
        <w:tc>
          <w:tcPr>
            <w:tcW w:w="600" w:type="dxa"/>
            <w:vAlign w:val="bottom"/>
          </w:tcPr>
          <w:p>
            <w:pPr>
              <w:ind w:left="16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63,002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07/27/2026</w:t>
            </w:r>
          </w:p>
        </w:tc>
        <w:tc>
          <w:tcPr>
            <w:tcW w:w="7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gridSpan w:val="2"/>
          </w:tcPr>
          <w:p>
            <w:pPr>
              <w:ind w:left="30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$</w:t>
            </w: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0</w:t>
            </w:r>
          </w:p>
        </w:tc>
        <w:tc>
          <w:tcPr>
            <w:tcW w:w="620" w:type="dxa"/>
            <w:vAlign w:val="bottom"/>
          </w:tcPr>
          <w:p>
            <w:pPr>
              <w:ind w:left="24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  <w:w w:val="90"/>
              </w:rPr>
              <w:t>63,002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34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D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2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(Right to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 w:line="14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Stock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0000FF"/>
        </w:rPr>
        <w:t>Buy)</w:t>
      </w:r>
    </w:p>
    <w:p>
      <w:pPr>
        <w:spacing w:after="0" w:line="101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Explanation of Responses:</w:t>
      </w:r>
    </w:p>
    <w:p>
      <w:pPr>
        <w:spacing w:after="0" w:line="58" w:lineRule="exact"/>
        <w:rPr>
          <w:sz w:val="24"/>
          <w:szCs w:val="24"/>
          <w:color w:val="auto"/>
        </w:rPr>
      </w:pPr>
    </w:p>
    <w:p>
      <w:pPr>
        <w:ind w:left="40" w:right="260" w:firstLine="8"/>
        <w:spacing w:after="0" w:line="272" w:lineRule="auto"/>
        <w:tabs>
          <w:tab w:leader="none" w:pos="174" w:val="left"/>
        </w:tabs>
        <w:numPr>
          <w:ilvl w:val="0"/>
          <w:numId w:val="1"/>
        </w:numPr>
        <w:rPr>
          <w:rFonts w:ascii="Arial" w:cs="Arial" w:eastAsia="Arial" w:hAnsi="Arial"/>
          <w:sz w:val="13"/>
          <w:szCs w:val="13"/>
          <w:color w:val="008000"/>
        </w:rPr>
      </w:pPr>
      <w:r>
        <w:rPr>
          <w:rFonts w:ascii="Arial" w:cs="Arial" w:eastAsia="Arial" w:hAnsi="Arial"/>
          <w:sz w:val="13"/>
          <w:szCs w:val="13"/>
          <w:color w:val="008000"/>
        </w:rPr>
        <w:t>On July 27, 2016, the reporting person was granted 63,002 restricted stock units ("RSU"), vesting as follows: 33% of the RSUs vest on April 27, 2017 and the remaining RSUs vest in a series of 8 successive quarterly installments upon completion of each additional quarter of service.</w:t>
      </w:r>
    </w:p>
    <w:p>
      <w:pPr>
        <w:spacing w:after="0" w:line="9" w:lineRule="exact"/>
        <w:rPr>
          <w:rFonts w:ascii="Arial" w:cs="Arial" w:eastAsia="Arial" w:hAnsi="Arial"/>
          <w:sz w:val="13"/>
          <w:szCs w:val="13"/>
          <w:color w:val="008000"/>
        </w:rPr>
      </w:pPr>
    </w:p>
    <w:p>
      <w:pPr>
        <w:ind w:left="180" w:hanging="132"/>
        <w:spacing w:after="0"/>
        <w:tabs>
          <w:tab w:leader="none" w:pos="180" w:val="left"/>
        </w:tabs>
        <w:numPr>
          <w:ilvl w:val="0"/>
          <w:numId w:val="1"/>
        </w:numPr>
        <w:rPr>
          <w:rFonts w:ascii="Arial" w:cs="Arial" w:eastAsia="Arial" w:hAnsi="Arial"/>
          <w:sz w:val="12"/>
          <w:szCs w:val="12"/>
          <w:color w:val="008000"/>
        </w:rPr>
      </w:pPr>
      <w:r>
        <w:rPr>
          <w:rFonts w:ascii="Arial" w:cs="Arial" w:eastAsia="Arial" w:hAnsi="Arial"/>
          <w:sz w:val="12"/>
          <w:szCs w:val="12"/>
          <w:color w:val="008000"/>
        </w:rPr>
        <w:t>The option vests as follows: 25% of the shares vest on April 27, 2017 and the remaining shares vest in a series of 36 successive monthly installments upon completion of each additional month of service.</w:t>
      </w:r>
    </w:p>
    <w:p>
      <w:pPr>
        <w:spacing w:after="0" w:line="80" w:lineRule="exact"/>
        <w:rPr>
          <w:sz w:val="24"/>
          <w:szCs w:val="24"/>
          <w:color w:val="auto"/>
        </w:rPr>
      </w:pPr>
    </w:p>
    <w:tbl>
      <w:tblPr>
        <w:tblLayout w:type="fixed"/>
        <w:tblInd w:w="68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95"/>
        </w:trPr>
        <w:tc>
          <w:tcPr>
            <w:tcW w:w="230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/s/ Jonathan R. Zimmerman,</w:t>
            </w:r>
          </w:p>
        </w:tc>
        <w:tc>
          <w:tcPr>
            <w:tcW w:w="78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89"/>
              </w:rPr>
              <w:t>08/19/2016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1180" w:type="dxa"/>
            <w:vAlign w:val="bottom"/>
            <w:tcBorders>
              <w:top w:val="single" w:sz="8" w:color="auto"/>
              <w:bottom w:val="single" w:sz="8" w:color="auto"/>
            </w:tcBorders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5"/>
              </w:rPr>
              <w:t>Attorney-in-Fact</w:t>
            </w:r>
          </w:p>
        </w:tc>
        <w:tc>
          <w:tcPr>
            <w:tcW w:w="800" w:type="dxa"/>
            <w:vAlign w:val="bottom"/>
            <w:tcBorders>
              <w:top w:val="single" w:sz="8" w:color="auto"/>
              <w:bottom w:val="single" w:sz="8" w:color="auto"/>
            </w:tcBorders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20" w:type="dxa"/>
            <w:vAlign w:val="bottom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7"/>
        </w:trPr>
        <w:tc>
          <w:tcPr>
            <w:tcW w:w="118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2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5"/>
        </w:trPr>
        <w:tc>
          <w:tcPr>
            <w:tcW w:w="230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** Signature of Reporting Person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Date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40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Reminder: Report on a separate line for each class of securities beneficially owned directly or indirectly.</w:t>
      </w:r>
    </w:p>
    <w:p>
      <w:pPr>
        <w:spacing w:after="0" w:line="38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4 (b)(v).</w:t>
      </w:r>
    </w:p>
    <w:p>
      <w:pPr>
        <w:spacing w:after="0" w:line="52" w:lineRule="exact"/>
        <w:rPr>
          <w:sz w:val="24"/>
          <w:szCs w:val="24"/>
          <w:color w:val="auto"/>
        </w:rPr>
      </w:pPr>
    </w:p>
    <w:p>
      <w:pPr>
        <w:jc w:val="both"/>
        <w:ind w:left="40" w:right="3740" w:firstLine="8"/>
        <w:spacing w:after="0" w:line="321" w:lineRule="auto"/>
        <w:tabs>
          <w:tab w:leader="none" w:pos="182" w:val="left"/>
        </w:tabs>
        <w:numPr>
          <w:ilvl w:val="0"/>
          <w:numId w:val="2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520"/>
      </w:cols>
      <w:pgMar w:left="240" w:top="225" w:right="13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43C9869"/>
    <w:multiLevelType w:val="hybridMultilevel"/>
    <w:lvl w:ilvl="0">
      <w:lvlJc w:val="left"/>
      <w:lvlText w:val="%1."/>
      <w:numFmt w:val="decimal"/>
      <w:start w:val="1"/>
    </w:lvl>
  </w:abstractNum>
  <w:abstractNum w:abstractNumId="1">
    <w:nsid w:val="66334873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hyperlink" Target="http://www.sec.gov/cgi-bin/browse-edgar?action=getcompany&amp;CIK=0001485478" TargetMode="External"/><Relationship Id="rId13" Type="http://schemas.openxmlformats.org/officeDocument/2006/relationships/hyperlink" Target="http://www.sec.gov/cgi-bin/browse-edgar?action=getcompany&amp;CIK=0001027838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2019-12-06T14:39:36Z</dcterms:created>
  <dcterms:modified xsi:type="dcterms:W3CDTF">2019-12-06T14:39:36Z</dcterms:modified>
</cp:coreProperties>
</file>