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3649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3649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ROCHE KEVIN H</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680" w:type="dxa"/>
            <w:vAlign w:val="bottom"/>
            <w:tcBorders>
              <w:top w:val="single" w:sz="8" w:color="0000EE"/>
              <w:bottom w:val="single" w:sz="8" w:color="9A9A9A"/>
            </w:tcBorders>
          </w:tcPr>
          <w:p>
            <w:pPr>
              <w:spacing w:after="0"/>
              <w:rPr>
                <w:sz w:val="15"/>
                <w:szCs w:val="15"/>
                <w:color w:val="auto"/>
              </w:rPr>
            </w:pPr>
          </w:p>
        </w:tc>
        <w:tc>
          <w:tcPr>
            <w:tcW w:w="154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07/27/2016</w:t>
            </w:r>
          </w:p>
        </w:tc>
        <w:tc>
          <w:tcPr>
            <w:tcW w:w="0" w:type="dxa"/>
            <w:vAlign w:val="bottom"/>
          </w:tcPr>
          <w:p>
            <w:pPr>
              <w:spacing w:after="0"/>
              <w:rPr>
                <w:sz w:val="1"/>
                <w:szCs w:val="1"/>
                <w:color w:val="auto"/>
              </w:rPr>
            </w:pPr>
          </w:p>
        </w:tc>
      </w:tr>
    </w:tbl>
    <w:p>
      <w:pPr>
        <w:spacing w:after="0" w:line="14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340"/>
              <w:spacing w:after="0"/>
              <w:rPr>
                <w:sz w:val="20"/>
                <w:szCs w:val="20"/>
                <w:color w:val="auto"/>
              </w:rPr>
            </w:pPr>
            <w:r>
              <w:rPr>
                <w:rFonts w:ascii="Arial" w:cs="Arial" w:eastAsia="Arial" w:hAnsi="Arial"/>
                <w:sz w:val="14"/>
                <w:szCs w:val="14"/>
                <w:color w:val="auto"/>
              </w:rPr>
              <w:t>(First)</w:t>
            </w:r>
          </w:p>
        </w:tc>
        <w:tc>
          <w:tcPr>
            <w:tcW w:w="1360" w:type="dxa"/>
            <w:vAlign w:val="bottom"/>
          </w:tcPr>
          <w:p>
            <w:pPr>
              <w:ind w:left="32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1331 TYLER STREET NE, SUITE 200</w:t>
            </w:r>
          </w:p>
        </w:tc>
      </w:tr>
      <w:tr>
        <w:trPr>
          <w:trHeight w:val="212"/>
        </w:trPr>
        <w:tc>
          <w:tcPr>
            <w:tcW w:w="20" w:type="dxa"/>
            <w:vAlign w:val="bottom"/>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360" w:type="dxa"/>
            <w:vAlign w:val="bottom"/>
            <w:tcBorders>
              <w:bottom w:val="single" w:sz="8" w:color="9A9A9A"/>
            </w:tcBorders>
          </w:tcPr>
          <w:p>
            <w:pPr>
              <w:spacing w:after="0"/>
              <w:rPr>
                <w:sz w:val="18"/>
                <w:szCs w:val="18"/>
                <w:color w:val="auto"/>
              </w:rPr>
            </w:pPr>
          </w:p>
        </w:tc>
      </w:tr>
      <w:tr>
        <w:trPr>
          <w:trHeight w:val="270"/>
        </w:trPr>
        <w:tc>
          <w:tcPr>
            <w:tcW w:w="8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36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MINNEAPOLIS MN</w:t>
            </w:r>
          </w:p>
        </w:tc>
        <w:tc>
          <w:tcPr>
            <w:tcW w:w="1360" w:type="dxa"/>
            <w:vAlign w:val="bottom"/>
          </w:tcPr>
          <w:p>
            <w:pPr>
              <w:jc w:val="right"/>
              <w:ind w:right="466"/>
              <w:spacing w:after="0"/>
              <w:rPr>
                <w:sz w:val="20"/>
                <w:szCs w:val="20"/>
                <w:color w:val="auto"/>
              </w:rPr>
            </w:pPr>
            <w:r>
              <w:rPr>
                <w:rFonts w:ascii="Arial" w:cs="Arial" w:eastAsia="Arial" w:hAnsi="Arial"/>
                <w:sz w:val="18"/>
                <w:szCs w:val="18"/>
                <w:color w:val="0000FF"/>
              </w:rPr>
              <w:t>55413</w:t>
            </w:r>
          </w:p>
        </w:tc>
      </w:tr>
      <w:tr>
        <w:trPr>
          <w:trHeight w:val="158"/>
        </w:trPr>
        <w:tc>
          <w:tcPr>
            <w:tcW w:w="20" w:type="dxa"/>
            <w:vAlign w:val="bottom"/>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(City)</w:t>
            </w:r>
          </w:p>
        </w:tc>
        <w:tc>
          <w:tcPr>
            <w:tcW w:w="1100" w:type="dxa"/>
            <w:vAlign w:val="bottom"/>
          </w:tcPr>
          <w:p>
            <w:pPr>
              <w:ind w:left="340"/>
              <w:spacing w:after="0"/>
              <w:rPr>
                <w:sz w:val="20"/>
                <w:szCs w:val="20"/>
                <w:color w:val="auto"/>
              </w:rPr>
            </w:pPr>
            <w:r>
              <w:rPr>
                <w:rFonts w:ascii="Arial" w:cs="Arial" w:eastAsia="Arial" w:hAnsi="Arial"/>
                <w:sz w:val="14"/>
                <w:szCs w:val="14"/>
                <w:color w:val="auto"/>
              </w:rPr>
              <w:t>(State)</w:t>
            </w:r>
          </w:p>
        </w:tc>
        <w:tc>
          <w:tcPr>
            <w:tcW w:w="1360" w:type="dxa"/>
            <w:vAlign w:val="bottom"/>
          </w:tcPr>
          <w:p>
            <w:pPr>
              <w:ind w:left="3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TACTILE SYSTEMS TECHNOLOGY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197"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320" w:type="dxa"/>
            <w:vAlign w:val="bottom"/>
            <w:gridSpan w:val="2"/>
          </w:tcPr>
          <w:p>
            <w:pPr>
              <w:spacing w:after="0"/>
              <w:rPr>
                <w:sz w:val="20"/>
                <w:szCs w:val="20"/>
                <w:color w:val="auto"/>
              </w:rPr>
            </w:pPr>
            <w:r>
              <w:rPr>
                <w:rFonts w:ascii="Arial" w:cs="Arial" w:eastAsia="Arial" w:hAnsi="Arial"/>
                <w:sz w:val="14"/>
                <w:szCs w:val="14"/>
                <w:color w:val="auto"/>
              </w:rPr>
              <w:t>4. Relationship of Reporting Person(s) to Issuer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2680" w:type="dxa"/>
            <w:vAlign w:val="bottom"/>
          </w:tcPr>
          <w:p>
            <w:pPr>
              <w:ind w:left="20"/>
              <w:spacing w:after="0"/>
              <w:rPr>
                <w:sz w:val="20"/>
                <w:szCs w:val="20"/>
                <w:color w:val="auto"/>
              </w:rPr>
            </w:pPr>
            <w:r>
              <w:rPr>
                <w:rFonts w:ascii="Arial" w:cs="Arial" w:eastAsia="Arial" w:hAnsi="Arial"/>
                <w:sz w:val="14"/>
                <w:szCs w:val="14"/>
                <w:color w:val="auto"/>
              </w:rPr>
              <w:t>If Amendment, Date of Original Filed</w:t>
            </w:r>
          </w:p>
        </w:tc>
        <w:tc>
          <w:tcPr>
            <w:tcW w:w="0" w:type="dxa"/>
            <w:vAlign w:val="bottom"/>
          </w:tcPr>
          <w:p>
            <w:pPr>
              <w:spacing w:after="0"/>
              <w:rPr>
                <w:sz w:val="1"/>
                <w:szCs w:val="1"/>
                <w:color w:val="auto"/>
              </w:rPr>
            </w:pPr>
          </w:p>
        </w:tc>
      </w:tr>
      <w:tr>
        <w:trPr>
          <w:trHeight w:val="141"/>
        </w:trPr>
        <w:tc>
          <w:tcPr>
            <w:tcW w:w="1840" w:type="dxa"/>
            <w:vAlign w:val="bottom"/>
          </w:tcPr>
          <w:p>
            <w:pPr>
              <w:spacing w:after="0" w:line="141" w:lineRule="exact"/>
              <w:rPr>
                <w:sz w:val="20"/>
                <w:szCs w:val="20"/>
                <w:color w:val="auto"/>
              </w:rPr>
            </w:pPr>
            <w:r>
              <w:rPr>
                <w:rFonts w:ascii="Arial" w:cs="Arial" w:eastAsia="Arial" w:hAnsi="Arial"/>
                <w:sz w:val="14"/>
                <w:szCs w:val="14"/>
                <w:color w:val="auto"/>
              </w:rPr>
              <w:t>(Check all applicable)</w:t>
            </w:r>
          </w:p>
        </w:tc>
        <w:tc>
          <w:tcPr>
            <w:tcW w:w="1480" w:type="dxa"/>
            <w:vAlign w:val="bottom"/>
          </w:tcPr>
          <w:p>
            <w:pPr>
              <w:spacing w:after="0"/>
              <w:rPr>
                <w:sz w:val="12"/>
                <w:szCs w:val="12"/>
                <w:color w:val="auto"/>
              </w:rPr>
            </w:pPr>
          </w:p>
        </w:tc>
        <w:tc>
          <w:tcPr>
            <w:tcW w:w="2880" w:type="dxa"/>
            <w:vAlign w:val="bottom"/>
            <w:gridSpan w:val="2"/>
          </w:tcPr>
          <w:p>
            <w:pPr>
              <w:ind w:left="80"/>
              <w:spacing w:after="0" w:line="141"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263"/>
        </w:trPr>
        <w:tc>
          <w:tcPr>
            <w:tcW w:w="1840" w:type="dxa"/>
            <w:vAlign w:val="bottom"/>
          </w:tcPr>
          <w:p>
            <w:pPr>
              <w:ind w:left="2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480" w:type="dxa"/>
            <w:vAlign w:val="bottom"/>
          </w:tcPr>
          <w:p>
            <w:pPr>
              <w:ind w:left="320"/>
              <w:spacing w:after="0"/>
              <w:rPr>
                <w:sz w:val="20"/>
                <w:szCs w:val="20"/>
                <w:color w:val="auto"/>
              </w:rPr>
            </w:pPr>
            <w:r>
              <w:rPr>
                <w:rFonts w:ascii="Arial" w:cs="Arial" w:eastAsia="Arial" w:hAnsi="Arial"/>
                <w:sz w:val="14"/>
                <w:szCs w:val="14"/>
                <w:color w:val="auto"/>
              </w:rPr>
              <w:t>10% Owner</w:t>
            </w:r>
          </w:p>
        </w:tc>
        <w:tc>
          <w:tcPr>
            <w:tcW w:w="2880" w:type="dxa"/>
            <w:vAlign w:val="bottom"/>
            <w:gridSpan w:val="2"/>
          </w:tcPr>
          <w:p>
            <w:pPr>
              <w:ind w:left="80"/>
              <w:spacing w:after="0"/>
              <w:rPr>
                <w:sz w:val="20"/>
                <w:szCs w:val="20"/>
                <w:color w:val="auto"/>
              </w:rPr>
            </w:pPr>
            <w:r>
              <w:rPr>
                <w:rFonts w:ascii="Arial" w:cs="Arial" w:eastAsia="Arial" w:hAnsi="Arial"/>
                <w:sz w:val="18"/>
                <w:szCs w:val="18"/>
                <w:color w:val="0000FF"/>
              </w:rPr>
              <w:t>07/27/2016</w:t>
            </w:r>
          </w:p>
        </w:tc>
        <w:tc>
          <w:tcPr>
            <w:tcW w:w="0" w:type="dxa"/>
            <w:vAlign w:val="bottom"/>
          </w:tcPr>
          <w:p>
            <w:pPr>
              <w:spacing w:after="0"/>
              <w:rPr>
                <w:sz w:val="1"/>
                <w:szCs w:val="1"/>
                <w:color w:val="auto"/>
              </w:rPr>
            </w:pPr>
          </w:p>
        </w:tc>
      </w:tr>
      <w:tr>
        <w:trPr>
          <w:trHeight w:val="131"/>
        </w:trPr>
        <w:tc>
          <w:tcPr>
            <w:tcW w:w="1840" w:type="dxa"/>
            <w:vAlign w:val="bottom"/>
            <w:vMerge w:val="restart"/>
          </w:tcPr>
          <w:p>
            <w:pPr>
              <w:ind w:left="540"/>
              <w:spacing w:after="0"/>
              <w:rPr>
                <w:sz w:val="20"/>
                <w:szCs w:val="20"/>
                <w:color w:val="auto"/>
              </w:rPr>
            </w:pPr>
            <w:r>
              <w:rPr>
                <w:rFonts w:ascii="Arial" w:cs="Arial" w:eastAsia="Arial" w:hAnsi="Arial"/>
                <w:sz w:val="14"/>
                <w:szCs w:val="14"/>
                <w:color w:val="auto"/>
              </w:rPr>
              <w:t>Officer (give title</w:t>
            </w:r>
          </w:p>
        </w:tc>
        <w:tc>
          <w:tcPr>
            <w:tcW w:w="1480" w:type="dxa"/>
            <w:vAlign w:val="bottom"/>
            <w:vMerge w:val="restart"/>
          </w:tcPr>
          <w:p>
            <w:pPr>
              <w:ind w:left="320"/>
              <w:spacing w:after="0"/>
              <w:rPr>
                <w:sz w:val="20"/>
                <w:szCs w:val="20"/>
                <w:color w:val="auto"/>
              </w:rPr>
            </w:pPr>
            <w:r>
              <w:rPr>
                <w:rFonts w:ascii="Arial" w:cs="Arial" w:eastAsia="Arial" w:hAnsi="Arial"/>
                <w:sz w:val="14"/>
                <w:szCs w:val="14"/>
                <w:color w:val="auto"/>
              </w:rPr>
              <w:t>Other (specify</w:t>
            </w:r>
          </w:p>
        </w:tc>
        <w:tc>
          <w:tcPr>
            <w:tcW w:w="200" w:type="dxa"/>
            <w:vAlign w:val="bottom"/>
            <w:tcBorders>
              <w:bottom w:val="single" w:sz="8" w:color="2C2C2C"/>
            </w:tcBorders>
          </w:tcPr>
          <w:p>
            <w:pPr>
              <w:spacing w:after="0"/>
              <w:rPr>
                <w:sz w:val="11"/>
                <w:szCs w:val="11"/>
                <w:color w:val="auto"/>
              </w:rPr>
            </w:pPr>
          </w:p>
        </w:tc>
        <w:tc>
          <w:tcPr>
            <w:tcW w:w="268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53"/>
        </w:trPr>
        <w:tc>
          <w:tcPr>
            <w:tcW w:w="18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0" w:type="dxa"/>
            <w:vAlign w:val="bottom"/>
          </w:tcPr>
          <w:p>
            <w:pPr>
              <w:spacing w:after="0"/>
              <w:rPr>
                <w:sz w:val="4"/>
                <w:szCs w:val="4"/>
                <w:color w:val="auto"/>
              </w:rPr>
            </w:pPr>
          </w:p>
        </w:tc>
        <w:tc>
          <w:tcPr>
            <w:tcW w:w="2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1840" w:type="dxa"/>
            <w:vAlign w:val="bottom"/>
          </w:tcPr>
          <w:p>
            <w:pPr>
              <w:ind w:left="540"/>
              <w:spacing w:after="0" w:line="149" w:lineRule="exact"/>
              <w:rPr>
                <w:sz w:val="20"/>
                <w:szCs w:val="20"/>
                <w:color w:val="auto"/>
              </w:rPr>
            </w:pPr>
            <w:r>
              <w:rPr>
                <w:rFonts w:ascii="Arial" w:cs="Arial" w:eastAsia="Arial" w:hAnsi="Arial"/>
                <w:sz w:val="14"/>
                <w:szCs w:val="14"/>
                <w:color w:val="auto"/>
              </w:rPr>
              <w:t>below)</w:t>
            </w:r>
          </w:p>
        </w:tc>
        <w:tc>
          <w:tcPr>
            <w:tcW w:w="1480" w:type="dxa"/>
            <w:vAlign w:val="bottom"/>
          </w:tcPr>
          <w:p>
            <w:pPr>
              <w:ind w:left="320"/>
              <w:spacing w:after="0" w:line="149" w:lineRule="exact"/>
              <w:rPr>
                <w:sz w:val="20"/>
                <w:szCs w:val="20"/>
                <w:color w:val="auto"/>
              </w:rPr>
            </w:pPr>
            <w:r>
              <w:rPr>
                <w:rFonts w:ascii="Arial" w:cs="Arial" w:eastAsia="Arial" w:hAnsi="Arial"/>
                <w:sz w:val="14"/>
                <w:szCs w:val="14"/>
                <w:color w:val="auto"/>
              </w:rPr>
              <w:t>below)</w:t>
            </w:r>
          </w:p>
        </w:tc>
        <w:tc>
          <w:tcPr>
            <w:tcW w:w="200" w:type="dxa"/>
            <w:vAlign w:val="bottom"/>
          </w:tcPr>
          <w:p>
            <w:pPr>
              <w:ind w:left="80"/>
              <w:spacing w:after="0" w:line="149" w:lineRule="exact"/>
              <w:rPr>
                <w:sz w:val="20"/>
                <w:szCs w:val="20"/>
                <w:color w:val="auto"/>
              </w:rPr>
            </w:pPr>
            <w:r>
              <w:rPr>
                <w:rFonts w:ascii="Arial" w:cs="Arial" w:eastAsia="Arial" w:hAnsi="Arial"/>
                <w:sz w:val="14"/>
                <w:szCs w:val="14"/>
                <w:color w:val="auto"/>
                <w:w w:val="85"/>
              </w:rPr>
              <w:t>6.</w:t>
            </w:r>
          </w:p>
        </w:tc>
        <w:tc>
          <w:tcPr>
            <w:tcW w:w="2680" w:type="dxa"/>
            <w:vAlign w:val="bottom"/>
          </w:tcPr>
          <w:p>
            <w:pPr>
              <w:ind w:left="20"/>
              <w:spacing w:after="0" w:line="149" w:lineRule="exact"/>
              <w:rPr>
                <w:sz w:val="20"/>
                <w:szCs w:val="20"/>
                <w:color w:val="auto"/>
              </w:rPr>
            </w:pPr>
            <w:r>
              <w:rPr>
                <w:rFonts w:ascii="Arial" w:cs="Arial" w:eastAsia="Arial" w:hAnsi="Arial"/>
                <w:sz w:val="14"/>
                <w:szCs w:val="14"/>
                <w:color w:val="auto"/>
              </w:rPr>
              <w:t>Individual or Joint/Group Filing (Check</w:t>
            </w:r>
          </w:p>
        </w:tc>
        <w:tc>
          <w:tcPr>
            <w:tcW w:w="0" w:type="dxa"/>
            <w:vAlign w:val="bottom"/>
          </w:tcPr>
          <w:p>
            <w:pPr>
              <w:spacing w:after="0"/>
              <w:rPr>
                <w:sz w:val="1"/>
                <w:szCs w:val="1"/>
                <w:color w:val="auto"/>
              </w:rPr>
            </w:pPr>
          </w:p>
        </w:tc>
      </w:tr>
    </w:tbl>
    <w:p>
      <w:pPr>
        <w:ind w:left="3400"/>
        <w:spacing w:after="0"/>
        <w:rPr>
          <w:sz w:val="20"/>
          <w:szCs w:val="20"/>
          <w:color w:val="auto"/>
        </w:rPr>
      </w:pPr>
      <w:r>
        <w:rPr>
          <w:rFonts w:ascii="Arial" w:cs="Arial" w:eastAsia="Arial" w:hAnsi="Arial"/>
          <w:sz w:val="14"/>
          <w:szCs w:val="14"/>
          <w:color w:val="auto"/>
        </w:rPr>
        <w:t>Applicable Line)</w:t>
      </w:r>
    </w:p>
    <w:p>
      <w:pPr>
        <w:ind w:left="3560"/>
        <w:spacing w:after="0" w:line="211" w:lineRule="auto"/>
        <w:tabs>
          <w:tab w:leader="none" w:pos="386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3880"/>
        <w:spacing w:after="0"/>
        <w:rPr>
          <w:sz w:val="20"/>
          <w:szCs w:val="20"/>
          <w:color w:val="auto"/>
        </w:rPr>
      </w:pPr>
      <w:r>
        <w:rPr>
          <w:rFonts w:ascii="Arial" w:cs="Arial" w:eastAsia="Arial" w:hAnsi="Arial"/>
          <w:sz w:val="14"/>
          <w:szCs w:val="14"/>
          <w:color w:val="auto"/>
        </w:rPr>
        <w:t>Form filed by More than One</w:t>
      </w:r>
    </w:p>
    <w:p>
      <w:pPr>
        <w:ind w:left="3880"/>
        <w:spacing w:after="0"/>
        <w:rPr>
          <w:sz w:val="20"/>
          <w:szCs w:val="20"/>
          <w:color w:val="auto"/>
        </w:rPr>
      </w:pPr>
      <w:r>
        <w:rPr>
          <w:rFonts w:ascii="Arial" w:cs="Arial" w:eastAsia="Arial" w:hAnsi="Arial"/>
          <w:sz w:val="14"/>
          <w:szCs w:val="14"/>
          <w:color w:val="auto"/>
        </w:rPr>
        <w:t>Reporting Person</w:t>
      </w:r>
    </w:p>
    <w:p>
      <w:pPr>
        <w:spacing w:after="0" w:line="361"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6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60" w:type="dxa"/>
            <w:vAlign w:val="bottom"/>
          </w:tcPr>
          <w:p>
            <w:pPr>
              <w:ind w:left="580"/>
              <w:spacing w:after="0"/>
              <w:rPr>
                <w:sz w:val="20"/>
                <w:szCs w:val="20"/>
                <w:color w:val="auto"/>
              </w:rPr>
            </w:pPr>
            <w:r>
              <w:rPr>
                <w:rFonts w:ascii="Arial" w:cs="Arial" w:eastAsia="Arial" w:hAnsi="Arial"/>
                <w:sz w:val="18"/>
                <w:szCs w:val="18"/>
                <w:color w:val="0000FF"/>
              </w:rPr>
              <w:t>189,578</w:t>
            </w:r>
          </w:p>
        </w:tc>
        <w:tc>
          <w:tcPr>
            <w:tcW w:w="900" w:type="dxa"/>
            <w:vAlign w:val="bottom"/>
          </w:tcPr>
          <w:p>
            <w:pPr>
              <w:ind w:left="64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68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86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6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60" w:type="dxa"/>
            <w:vAlign w:val="bottom"/>
          </w:tcPr>
          <w:p>
            <w:pPr>
              <w:spacing w:after="0"/>
              <w:rPr>
                <w:sz w:val="4"/>
                <w:szCs w:val="4"/>
                <w:color w:val="auto"/>
              </w:rPr>
            </w:pPr>
          </w:p>
        </w:tc>
        <w:tc>
          <w:tcPr>
            <w:tcW w:w="9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86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900" w:type="dxa"/>
            <w:vAlign w:val="bottom"/>
          </w:tcPr>
          <w:p>
            <w:pPr>
              <w:ind w:left="2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Series B Preferred Stock</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right"/>
              <w:ind w:right="275"/>
              <w:spacing w:after="0"/>
              <w:rPr>
                <w:sz w:val="20"/>
                <w:szCs w:val="20"/>
                <w:color w:val="auto"/>
              </w:rPr>
            </w:pPr>
            <w:r>
              <w:rPr>
                <w:rFonts w:ascii="Arial" w:cs="Arial" w:eastAsia="Arial" w:hAnsi="Arial"/>
                <w:sz w:val="11"/>
                <w:szCs w:val="11"/>
                <w:color w:val="008000"/>
              </w:rPr>
              <w:t>(2)</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ind w:left="360"/>
              <w:spacing w:after="0"/>
              <w:rPr>
                <w:sz w:val="20"/>
                <w:szCs w:val="20"/>
                <w:color w:val="auto"/>
              </w:rPr>
            </w:pPr>
            <w:r>
              <w:rPr>
                <w:rFonts w:ascii="Arial" w:cs="Arial" w:eastAsia="Arial" w:hAnsi="Arial"/>
                <w:sz w:val="18"/>
                <w:szCs w:val="18"/>
                <w:color w:val="0000FF"/>
              </w:rPr>
              <w:t>5,719</w:t>
            </w:r>
          </w:p>
        </w:tc>
        <w:tc>
          <w:tcPr>
            <w:tcW w:w="880" w:type="dxa"/>
            <w:vAlign w:val="bottom"/>
          </w:tcPr>
          <w:p>
            <w:pPr>
              <w:jc w:val="right"/>
              <w:ind w:right="311"/>
              <w:spacing w:after="0"/>
              <w:rPr>
                <w:sz w:val="20"/>
                <w:szCs w:val="20"/>
                <w:color w:val="auto"/>
              </w:rPr>
            </w:pPr>
            <w:r>
              <w:rPr>
                <w:rFonts w:ascii="Arial" w:cs="Arial" w:eastAsia="Arial" w:hAnsi="Arial"/>
                <w:sz w:val="11"/>
                <w:szCs w:val="11"/>
                <w:color w:val="008000"/>
              </w:rPr>
              <w:t>(1)</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 (Right to Buy)</w:t>
            </w:r>
          </w:p>
        </w:tc>
        <w:tc>
          <w:tcPr>
            <w:tcW w:w="1560" w:type="dxa"/>
            <w:vAlign w:val="bottom"/>
            <w:gridSpan w:val="2"/>
          </w:tcPr>
          <w:p>
            <w:pPr>
              <w:jc w:val="right"/>
              <w:ind w:right="309"/>
              <w:spacing w:after="0"/>
              <w:rPr>
                <w:sz w:val="20"/>
                <w:szCs w:val="20"/>
                <w:color w:val="auto"/>
              </w:rPr>
            </w:pPr>
            <w:r>
              <w:rPr>
                <w:rFonts w:ascii="Arial" w:cs="Arial" w:eastAsia="Arial" w:hAnsi="Arial"/>
                <w:sz w:val="11"/>
                <w:szCs w:val="11"/>
                <w:color w:val="008000"/>
              </w:rPr>
              <w:t>(3)</w:t>
            </w:r>
          </w:p>
        </w:tc>
        <w:tc>
          <w:tcPr>
            <w:tcW w:w="800" w:type="dxa"/>
            <w:vAlign w:val="bottom"/>
          </w:tcPr>
          <w:p>
            <w:pPr>
              <w:jc w:val="right"/>
              <w:ind w:right="15"/>
              <w:spacing w:after="0"/>
              <w:rPr>
                <w:sz w:val="20"/>
                <w:szCs w:val="20"/>
                <w:color w:val="auto"/>
              </w:rPr>
            </w:pPr>
            <w:r>
              <w:rPr>
                <w:rFonts w:ascii="Arial" w:cs="Arial" w:eastAsia="Arial" w:hAnsi="Arial"/>
                <w:sz w:val="14"/>
                <w:szCs w:val="14"/>
                <w:color w:val="0000FF"/>
                <w:w w:val="99"/>
              </w:rPr>
              <w:t>12/04/2022</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ind w:left="360"/>
              <w:spacing w:after="0"/>
              <w:rPr>
                <w:sz w:val="20"/>
                <w:szCs w:val="20"/>
                <w:color w:val="auto"/>
              </w:rPr>
            </w:pPr>
            <w:r>
              <w:rPr>
                <w:rFonts w:ascii="Arial" w:cs="Arial" w:eastAsia="Arial" w:hAnsi="Arial"/>
                <w:sz w:val="18"/>
                <w:szCs w:val="18"/>
                <w:color w:val="0000FF"/>
              </w:rPr>
              <w:t>4,995</w:t>
            </w:r>
          </w:p>
        </w:tc>
        <w:tc>
          <w:tcPr>
            <w:tcW w:w="880" w:type="dxa"/>
            <w:vAlign w:val="bottom"/>
          </w:tcPr>
          <w:p>
            <w:pPr>
              <w:jc w:val="right"/>
              <w:ind w:right="211"/>
              <w:spacing w:after="0"/>
              <w:rPr>
                <w:sz w:val="20"/>
                <w:szCs w:val="20"/>
                <w:color w:val="auto"/>
              </w:rPr>
            </w:pPr>
            <w:r>
              <w:rPr>
                <w:rFonts w:ascii="Arial" w:cs="Arial" w:eastAsia="Arial" w:hAnsi="Arial"/>
                <w:sz w:val="18"/>
                <w:szCs w:val="18"/>
                <w:color w:val="0000FF"/>
              </w:rPr>
              <w:t>0.68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6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right="60" w:firstLine="9"/>
        <w:spacing w:after="0" w:line="28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Each share of Series B Preferred Stock is convertible at any time at the option of the holder, and will convert automatically into shares of the Issuer's Common Stock on a one-for-one basis in connection with the closing of the Issuer's initial public offering. In addition, the holder is entitled to receive additional shares of common stock equal to the original purchase price per share ($3.8048) divided by the price to the public of the shares of common stock issued in the Issuer's initial public offering and these shares accrue a dividend that is payable-in-kind in shares of the Issuer's common stock.</w:t>
      </w:r>
    </w:p>
    <w:p>
      <w:pPr>
        <w:spacing w:after="0" w:line="2" w:lineRule="exact"/>
        <w:rPr>
          <w:rFonts w:ascii="Arial" w:cs="Arial" w:eastAsia="Arial" w:hAnsi="Arial"/>
          <w:sz w:val="12"/>
          <w:szCs w:val="12"/>
          <w:color w:val="008000"/>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securities do not have an expiration date. The securities convert automatically into shares of the Issuer's Common Stock on a one-for-one basis in connection with the closing of the Issuer's initial public offering.</w:t>
      </w:r>
    </w:p>
    <w:p>
      <w:pPr>
        <w:spacing w:after="0" w:line="30"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option vests as follows: 553 shares vested on December 5, 2012, and the remaining shares vest as to 553 shares each month commencing on January 1, 2013 and continuing until this option is fully vested.</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07/28/2016</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024356" TargetMode="External"/><Relationship Id="rId12"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2019-12-24T07:17:29Z</dcterms:created>
  <dcterms:modified xsi:type="dcterms:W3CDTF">2019-12-24T07:17:29Z</dcterms:modified>
</cp:coreProperties>
</file>